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before="0" w:beforeLines="0" w:after="0" w:afterLines="0"/>
        <w:rPr>
          <w:rFonts w:hint="eastAsia" w:ascii="黑体" w:hAnsi="黑体" w:eastAsia="黑体" w:cs="黑体"/>
          <w:bCs/>
          <w:sz w:val="32"/>
          <w:szCs w:val="32"/>
          <w:lang w:val="en-US" w:eastAsia="zh-CN"/>
        </w:rPr>
      </w:pPr>
      <w:bookmarkStart w:id="0" w:name="_GoBack"/>
      <w:bookmarkEnd w:id="0"/>
      <w:r>
        <w:rPr>
          <w:rFonts w:hint="eastAsia" w:ascii="黑体" w:hAnsi="黑体" w:eastAsia="黑体" w:cs="黑体"/>
          <w:bCs/>
          <w:sz w:val="32"/>
          <w:szCs w:val="32"/>
          <w:lang w:val="en-US" w:eastAsia="zh-CN"/>
        </w:rPr>
        <w:t>附件1</w:t>
      </w:r>
    </w:p>
    <w:tbl>
      <w:tblPr>
        <w:tblStyle w:val="4"/>
        <w:tblW w:w="148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45"/>
        <w:gridCol w:w="1110"/>
        <w:gridCol w:w="1110"/>
        <w:gridCol w:w="1110"/>
        <w:gridCol w:w="1110"/>
        <w:gridCol w:w="1110"/>
        <w:gridCol w:w="1110"/>
        <w:gridCol w:w="1110"/>
        <w:gridCol w:w="1110"/>
        <w:gridCol w:w="1110"/>
        <w:gridCol w:w="1110"/>
        <w:gridCol w:w="1110"/>
        <w:gridCol w:w="11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865"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color w:val="000000"/>
                <w:sz w:val="32"/>
                <w:szCs w:val="32"/>
                <w:u w:val="none"/>
              </w:rPr>
            </w:pPr>
            <w:r>
              <w:rPr>
                <w:rFonts w:hint="eastAsia" w:ascii="方正小标宋简体" w:hAnsi="Times New Roman" w:eastAsia="方正小标宋简体" w:cs="Times New Roman"/>
                <w:color w:val="auto"/>
                <w:kern w:val="2"/>
                <w:sz w:val="44"/>
                <w:szCs w:val="44"/>
                <w:lang w:eastAsia="zh-CN"/>
              </w:rPr>
              <w:t>深圳城市规划控制性</w:t>
            </w:r>
            <w:r>
              <w:rPr>
                <w:rFonts w:hint="eastAsia" w:ascii="方正小标宋简体" w:hAnsi="Times New Roman" w:eastAsia="方正小标宋简体" w:cs="Times New Roman"/>
                <w:color w:val="auto"/>
                <w:kern w:val="2"/>
                <w:sz w:val="44"/>
                <w:szCs w:val="44"/>
              </w:rPr>
              <w:t>工程气象参数</w:t>
            </w:r>
            <w:r>
              <w:rPr>
                <w:rFonts w:hint="eastAsia" w:ascii="方正小标宋简体" w:hAnsi="Times New Roman" w:eastAsia="方正小标宋简体" w:cs="Times New Roman"/>
                <w:i w:val="0"/>
                <w:color w:val="000000"/>
                <w:kern w:val="2"/>
                <w:sz w:val="44"/>
                <w:szCs w:val="44"/>
                <w:u w:val="none"/>
                <w:lang w:val="en-US" w:eastAsia="zh-CN" w:bidi="ar"/>
              </w:rPr>
              <w:t>一览表（2022年版）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1" w:hRule="atLeast"/>
        </w:trPr>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设计基准要素</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重现期</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36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福田区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36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龙华区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36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罗湖区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36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坪山区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36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盐田区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36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宝安区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36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光明区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36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大鹏新区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36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龙岗区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36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南山区</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深汕特别合作区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设计基准风速</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50</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35.3m/s</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33.8m/s</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35.4m/s</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34.4m/s</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37.4m/s</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37.2m/s</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32.6m/s</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39.5m/s</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34.3m/s</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37.4m/s</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40.1m/s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38.7m/s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37.1m/s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38.8m/s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37.7m/s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41m/s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40.8m/s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35.8m/s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43.3m/s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37.6m/s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41m/s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44m/s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设计基准气温</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（最热月）</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50</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33.4℃</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34.4℃</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34.4℃</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34.2℃</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32.8℃</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33.1℃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35.4℃</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32.6℃</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34.8℃</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32.9℃</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设计基准气温</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（最冷月）</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50</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16.7℃</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16.1℃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17.4℃</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17.7℃</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16.7℃</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16.8℃</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16.8℃</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17.9℃</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jc w:val="center"/>
              <w:textAlignment w:val="center"/>
              <w:rPr>
                <w:rFonts w:hint="eastAsia" w:ascii="宋体" w:hAnsi="宋体" w:eastAsia="宋体" w:cs="宋体"/>
                <w:i w:val="0"/>
                <w:color w:val="000000"/>
                <w:sz w:val="21"/>
                <w:szCs w:val="21"/>
                <w:u w:val="none"/>
              </w:rPr>
            </w:pPr>
            <w:r>
              <w:rPr>
                <w:rStyle w:val="8"/>
                <w:lang w:val="en-US" w:eastAsia="zh-CN" w:bidi="ar"/>
              </w:rPr>
              <w:t>设计基准降水</w:t>
            </w:r>
            <w:r>
              <w:rPr>
                <w:rStyle w:val="8"/>
                <w:lang w:val="en-US" w:eastAsia="zh-CN" w:bidi="ar"/>
              </w:rPr>
              <w:br w:type="textWrapping"/>
            </w:r>
            <w:r>
              <w:rPr>
                <w:rStyle w:val="8"/>
                <w:lang w:val="en-US" w:eastAsia="zh-CN" w:bidi="ar"/>
              </w:rPr>
              <w:t>（历时</w:t>
            </w:r>
            <w:r>
              <w:rPr>
                <w:rStyle w:val="9"/>
                <w:rFonts w:eastAsia="宋体"/>
                <w:lang w:val="en-US" w:eastAsia="zh-CN" w:bidi="ar"/>
              </w:rPr>
              <w:t>1</w:t>
            </w:r>
            <w:r>
              <w:rPr>
                <w:rStyle w:val="8"/>
                <w:lang w:val="en-US" w:eastAsia="zh-CN" w:bidi="ar"/>
              </w:rPr>
              <w:t>小时，单位：mm）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74.1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78.1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78.7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90.2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73.3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71.8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71.8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94.2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78.8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96.2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77.4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78.4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116.6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99.4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124.6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91.3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94.9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92.4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134.5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98.5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114.4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91.6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133.8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97.3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119.4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91.9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147.9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94.8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146.7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93.5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129.3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92.5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97.2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161.3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设计基准降水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（历时2小时，单位：mm）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124.8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113.1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95.5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137.4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135.5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117.8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120.7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143.8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113.8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126.9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147.4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116.5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151.9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122.6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146.3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123.5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126.8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154.5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134.4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122.7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159.5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129.2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159.8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130.4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134.4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167.9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130.5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143.8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130.4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115.4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168.8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138.2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139.6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144.3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185.4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143.1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189.1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140.4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122.9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180.7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146.6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196.6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148.3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153.7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155.6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167.8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149.9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191.8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设计基准降水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（历时3小时，单位：mm）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131.5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134.7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137.6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147.7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114.5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135.1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118.4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182.7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152.4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156.9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132.5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155.2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195.7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149.3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135.2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276.2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162.3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168.1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184.1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142.8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166.5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160.3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144.9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218.7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168.2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306.8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182.1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156.1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180.7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221.9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233.4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190.9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199.6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240.7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192.4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253.2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197.2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389.3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219.3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244.9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191.5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218.3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258.8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210.5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189.1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272.1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设计基准降水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（历时6小时，单位：mm）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185.7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189.3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153.7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224.8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156.5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265.9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249.1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215.3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247.7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185.1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212.8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258.5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184.4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305.6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219.6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277.3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231.9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239.3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269.2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232.8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277.3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227.3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240.5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312.4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252.8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262.7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295.9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227.5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256.9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300.5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268.6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362.1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280.3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293.7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331.7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260.6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291.5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331.7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281.9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248.3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296.2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307.7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324.9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292.9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325.1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361.7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313.7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276.1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设计基准降水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（历时12小时，单位：mm）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236.1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242.5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248.8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274.9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298.3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233.6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275.4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327.2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284.6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291.9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323.4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245.3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278.3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273.8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246.4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397.9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297.8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368.3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308.8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316.9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304.2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375.7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297.1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267.2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443.7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325.8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384.6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297.1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336.4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326.1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293.3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498.6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362.2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379.5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389.8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429.5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336.1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380.1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456.4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328.2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577.4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398.2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566.3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419.4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430.9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474.1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375.7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424.3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502.1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403.3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362.6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654.1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设计基准降水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（历时24小时，单位：mm）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288.8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299.6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300.3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257.9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293.2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298.5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365.1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375.3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376.1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298.1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338.8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399.8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299.2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436.9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353.5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412.7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371.1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368.7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364.8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362.9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478.6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459.2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403.3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438.5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397.2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462.8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391.3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531.1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419.4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522.3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445.8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439.7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439.6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509.7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428.7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601.8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eastAsia="宋体" w:cs="宋体"/>
                <w:i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455.9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586.4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487.1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478.9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529.8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423.8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481.1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554.8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465.2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414.5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673.1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设计基准雷击大地密度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(单位：次/(km2•a))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60.2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66.4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64.1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66.9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74.7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71.5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60.9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73.8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64.8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59.3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78.9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37.6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60.2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67.7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45.9</w:t>
            </w:r>
          </w:p>
        </w:tc>
      </w:tr>
    </w:tbl>
    <w:p>
      <w:pPr>
        <w:pStyle w:val="7"/>
        <w:widowControl/>
        <w:snapToGrid w:val="0"/>
        <w:spacing w:beforeLines="0" w:afterLines="0" w:line="560" w:lineRule="exact"/>
        <w:rPr>
          <w:rFonts w:hint="default" w:ascii="仿宋_GB2312" w:hAnsi="仿宋_GB2312" w:cs="仿宋_GB2312"/>
          <w:color w:val="auto"/>
          <w:kern w:val="0"/>
          <w:sz w:val="32"/>
          <w:szCs w:val="32"/>
          <w:lang w:val="en-US" w:eastAsia="zh-CN"/>
        </w:rPr>
        <w:sectPr>
          <w:pgSz w:w="16838" w:h="11906" w:orient="landscape"/>
          <w:pgMar w:top="1800" w:right="1440" w:bottom="1800" w:left="1440" w:header="851" w:footer="992" w:gutter="0"/>
          <w:cols w:space="720" w:num="1"/>
          <w:docGrid w:type="lines" w:linePitch="312" w:charSpace="0"/>
        </w:sectPr>
      </w:pPr>
    </w:p>
    <w:p>
      <w:pPr>
        <w:widowControl w:val="0"/>
        <w:spacing w:before="0" w:beforeLines="0" w:after="0" w:afterLines="0"/>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附件2</w:t>
      </w:r>
    </w:p>
    <w:p>
      <w:pPr>
        <w:spacing w:line="560" w:lineRule="exact"/>
        <w:ind w:firstLine="440" w:firstLineChars="100"/>
        <w:jc w:val="both"/>
        <w:rPr>
          <w:rFonts w:hint="eastAsia" w:ascii="方正小标宋简体" w:hAnsi="Times New Roman" w:eastAsia="方正小标宋简体"/>
          <w:sz w:val="44"/>
          <w:szCs w:val="44"/>
        </w:rPr>
      </w:pPr>
    </w:p>
    <w:p>
      <w:pPr>
        <w:spacing w:line="560" w:lineRule="exact"/>
        <w:ind w:firstLine="440" w:firstLineChars="100"/>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深圳市工程建设项目区域气候可行性论证</w:t>
      </w:r>
      <w:r>
        <w:rPr>
          <w:rFonts w:hint="eastAsia" w:ascii="方正小标宋简体" w:hAnsi="Times New Roman" w:eastAsia="方正小标宋简体"/>
          <w:sz w:val="44"/>
          <w:szCs w:val="44"/>
          <w:lang w:eastAsia="zh-CN"/>
        </w:rPr>
        <w:t>和</w:t>
      </w:r>
      <w:r>
        <w:rPr>
          <w:rFonts w:hint="eastAsia" w:ascii="方正小标宋简体" w:hAnsi="Times New Roman" w:eastAsia="方正小标宋简体"/>
          <w:sz w:val="44"/>
          <w:szCs w:val="44"/>
        </w:rPr>
        <w:t>雷电灾害风险评估工作指引</w:t>
      </w:r>
    </w:p>
    <w:p>
      <w:pPr>
        <w:pStyle w:val="7"/>
        <w:adjustRightInd w:val="0"/>
        <w:snapToGrid w:val="0"/>
        <w:spacing w:after="0" w:afterLines="0" w:line="520" w:lineRule="exact"/>
        <w:rPr>
          <w:rFonts w:hint="eastAsia" w:ascii="仿宋_GB2312" w:hAnsi="Times New Roman" w:eastAsia="仿宋_GB2312"/>
          <w:sz w:val="32"/>
          <w:szCs w:val="28"/>
          <w:lang w:val="en-US" w:eastAsia="zh-CN"/>
        </w:rPr>
      </w:pPr>
    </w:p>
    <w:p>
      <w:pPr>
        <w:pStyle w:val="7"/>
        <w:adjustRightInd w:val="0"/>
        <w:snapToGrid w:val="0"/>
        <w:spacing w:beforeLines="0" w:after="0" w:afterLines="0" w:line="560" w:lineRule="exact"/>
        <w:rPr>
          <w:rFonts w:hint="eastAsia" w:ascii="仿宋_GB2312" w:hAnsi="仿宋_GB2312" w:eastAsia="仿宋_GB2312" w:cs="仿宋_GB2312"/>
          <w:kern w:val="0"/>
          <w:sz w:val="32"/>
          <w:szCs w:val="32"/>
          <w:lang w:val="en-US" w:eastAsia="zh-CN"/>
        </w:rPr>
      </w:pPr>
      <w:r>
        <w:rPr>
          <w:rFonts w:hint="eastAsia" w:ascii="仿宋_GB2312" w:hAnsi="Times New Roman" w:eastAsia="仿宋_GB2312"/>
          <w:sz w:val="32"/>
          <w:szCs w:val="28"/>
          <w:lang w:val="en-US" w:eastAsia="zh-CN"/>
        </w:rPr>
        <w:t>根</w:t>
      </w:r>
      <w:r>
        <w:rPr>
          <w:rFonts w:hint="eastAsia" w:ascii="仿宋_GB2312" w:hAnsi="仿宋_GB2312" w:eastAsia="仿宋_GB2312" w:cs="仿宋_GB2312"/>
          <w:kern w:val="0"/>
          <w:sz w:val="32"/>
          <w:szCs w:val="32"/>
          <w:lang w:val="en-US" w:eastAsia="zh-CN"/>
        </w:rPr>
        <w:t>据</w:t>
      </w:r>
      <w:r>
        <w:rPr>
          <w:rFonts w:hint="eastAsia" w:ascii="仿宋_GB2312" w:hAnsi="仿宋_GB2312" w:eastAsia="仿宋_GB2312" w:cs="仿宋_GB2312"/>
          <w:kern w:val="0"/>
          <w:sz w:val="32"/>
          <w:szCs w:val="32"/>
        </w:rPr>
        <w:t>《广东省人民政府关于印发广东省全面开展工程建设项目审批制度改革实施方案的通知》（粤府〔2019〕49号）、《关于印发&lt;广东省工程建设项目区域评估工作指引&gt;的函》（粤自然资函〔2019〕1931号）、《关于印发广东省工程建设项目区域评估操作规程的函》（粤自然资函〔2019〕2284号）</w:t>
      </w:r>
      <w:r>
        <w:rPr>
          <w:rFonts w:hint="eastAsia" w:ascii="仿宋_GB2312" w:hAnsi="仿宋_GB2312" w:eastAsia="仿宋_GB2312" w:cs="仿宋_GB2312"/>
          <w:kern w:val="0"/>
          <w:sz w:val="32"/>
          <w:szCs w:val="32"/>
          <w:lang w:eastAsia="zh-CN"/>
        </w:rPr>
        <w:t>、《深圳市</w:t>
      </w:r>
      <w:r>
        <w:rPr>
          <w:rFonts w:hint="eastAsia" w:ascii="仿宋_GB2312" w:hAnsi="仿宋_GB2312" w:eastAsia="仿宋_GB2312" w:cs="仿宋_GB2312"/>
          <w:kern w:val="0"/>
          <w:sz w:val="32"/>
          <w:szCs w:val="32"/>
          <w:lang w:val="en-US" w:eastAsia="zh-CN"/>
        </w:rPr>
        <w:t>2021年深化“放管服”改革优化营商环境重点任务清单</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等文件精神，为进一步深化“放管服”改革，优化营商环境，</w:t>
      </w:r>
      <w:r>
        <w:rPr>
          <w:rFonts w:hint="eastAsia" w:ascii="仿宋_GB2312" w:hAnsi="仿宋_GB2312" w:eastAsia="仿宋_GB2312" w:cs="仿宋_GB2312"/>
          <w:kern w:val="0"/>
          <w:sz w:val="32"/>
          <w:szCs w:val="32"/>
        </w:rPr>
        <w:t>做好我市工程建设项目区域气候可行性论证、雷电灾害风险评估工作，结合</w:t>
      </w:r>
      <w:r>
        <w:rPr>
          <w:rFonts w:hint="eastAsia" w:ascii="仿宋_GB2312" w:hAnsi="仿宋_GB2312" w:eastAsia="仿宋_GB2312" w:cs="仿宋_GB2312"/>
          <w:kern w:val="0"/>
          <w:sz w:val="32"/>
          <w:szCs w:val="32"/>
          <w:lang w:eastAsia="zh-CN"/>
        </w:rPr>
        <w:t>工作</w:t>
      </w:r>
      <w:r>
        <w:rPr>
          <w:rFonts w:hint="eastAsia" w:ascii="仿宋_GB2312" w:hAnsi="仿宋_GB2312" w:eastAsia="仿宋_GB2312" w:cs="仿宋_GB2312"/>
          <w:kern w:val="0"/>
          <w:sz w:val="32"/>
          <w:szCs w:val="32"/>
        </w:rPr>
        <w:t>实际,制定本指引。</w:t>
      </w:r>
    </w:p>
    <w:p>
      <w:pPr>
        <w:pStyle w:val="7"/>
        <w:adjustRightInd w:val="0"/>
        <w:snapToGrid w:val="0"/>
        <w:spacing w:before="0" w:beforeLines="0" w:after="0" w:afterLines="0" w:line="560" w:lineRule="exact"/>
        <w:rPr>
          <w:rFonts w:hint="eastAsia" w:ascii="黑体" w:hAnsi="黑体" w:eastAsia="黑体" w:cs="黑体"/>
          <w:kern w:val="0"/>
          <w:sz w:val="32"/>
          <w:szCs w:val="32"/>
        </w:rPr>
      </w:pPr>
      <w:r>
        <w:rPr>
          <w:rFonts w:hint="eastAsia" w:ascii="黑体" w:hAnsi="黑体" w:eastAsia="黑体" w:cs="黑体"/>
          <w:kern w:val="0"/>
          <w:sz w:val="32"/>
          <w:szCs w:val="32"/>
        </w:rPr>
        <w:t>一、指导思想</w:t>
      </w:r>
    </w:p>
    <w:p>
      <w:pPr>
        <w:pStyle w:val="7"/>
        <w:widowControl/>
        <w:adjustRightInd w:val="0"/>
        <w:snapToGrid w:val="0"/>
        <w:spacing w:beforeLines="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以习近平新时代中国特色社会主义思想为指导，深入贯彻习近平总书记关于气象工作的重要论述和总书记在出席深圳经济特区建立40周年庆祝大会上的重要讲话精神，认真落实党中央、国务院关于深化“放管服”改革和优化营商环境的部署要求，</w:t>
      </w:r>
      <w:r>
        <w:rPr>
          <w:rFonts w:hint="eastAsia" w:ascii="仿宋_GB2312" w:hAnsi="仿宋_GB2312" w:eastAsia="仿宋_GB2312" w:cs="仿宋_GB2312"/>
          <w:sz w:val="32"/>
          <w:szCs w:val="32"/>
        </w:rPr>
        <w:t>对</w:t>
      </w:r>
      <w:r>
        <w:rPr>
          <w:rFonts w:hint="eastAsia" w:ascii="仿宋_GB2312" w:hAnsi="仿宋_GB2312" w:eastAsia="仿宋_GB2312" w:cs="仿宋_GB2312"/>
          <w:kern w:val="0"/>
          <w:sz w:val="32"/>
          <w:szCs w:val="32"/>
          <w:lang w:eastAsia="zh-CN"/>
        </w:rPr>
        <w:t>房屋建筑和城市基础设施</w:t>
      </w:r>
      <w:r>
        <w:rPr>
          <w:rFonts w:hint="eastAsia" w:ascii="仿宋_GB2312" w:hAnsi="仿宋_GB2312" w:eastAsia="仿宋_GB2312" w:cs="仿宋_GB2312"/>
          <w:sz w:val="32"/>
          <w:szCs w:val="32"/>
        </w:rPr>
        <w:t>等</w:t>
      </w:r>
      <w:r>
        <w:rPr>
          <w:rFonts w:hint="eastAsia" w:ascii="仿宋_GB2312" w:hAnsi="仿宋_GB2312" w:eastAsia="仿宋_GB2312" w:cs="仿宋_GB2312"/>
          <w:kern w:val="0"/>
          <w:sz w:val="32"/>
          <w:szCs w:val="32"/>
          <w:lang w:eastAsia="zh-CN"/>
        </w:rPr>
        <w:t>工程建设</w:t>
      </w:r>
      <w:r>
        <w:rPr>
          <w:rFonts w:hint="eastAsia" w:ascii="仿宋_GB2312" w:hAnsi="仿宋_GB2312" w:eastAsia="仿宋_GB2312" w:cs="仿宋_GB2312"/>
          <w:sz w:val="32"/>
          <w:szCs w:val="32"/>
        </w:rPr>
        <w:t>项目开展区域气候可行性论证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雷电灾害风险评估，</w:t>
      </w:r>
      <w:r>
        <w:rPr>
          <w:rFonts w:hint="eastAsia" w:ascii="仿宋_GB2312" w:hAnsi="仿宋_GB2312" w:eastAsia="仿宋_GB2312" w:cs="仿宋_GB2312"/>
          <w:kern w:val="0"/>
          <w:sz w:val="32"/>
          <w:szCs w:val="32"/>
        </w:rPr>
        <w:t>推进工程建设项目</w:t>
      </w:r>
      <w:r>
        <w:rPr>
          <w:rFonts w:hint="eastAsia" w:ascii="仿宋_GB2312" w:hAnsi="仿宋_GB2312" w:eastAsia="仿宋_GB2312" w:cs="仿宋_GB2312"/>
          <w:kern w:val="0"/>
          <w:sz w:val="32"/>
          <w:szCs w:val="32"/>
          <w:lang w:eastAsia="zh-CN"/>
        </w:rPr>
        <w:t>避免或者减轻可能受气象灾害、气候变化的不利影响</w:t>
      </w:r>
      <w:r>
        <w:rPr>
          <w:rFonts w:hint="eastAsia" w:ascii="仿宋_GB2312" w:hAnsi="仿宋_GB2312" w:eastAsia="仿宋_GB2312" w:cs="仿宋_GB2312"/>
          <w:kern w:val="0"/>
          <w:sz w:val="32"/>
          <w:szCs w:val="32"/>
        </w:rPr>
        <w:t>，助力粤港澳大湾区建设和中国特色社会主义先行示范区建设。</w:t>
      </w:r>
    </w:p>
    <w:p>
      <w:pPr>
        <w:pStyle w:val="7"/>
        <w:adjustRightInd w:val="0"/>
        <w:snapToGrid w:val="0"/>
        <w:spacing w:before="0" w:beforeLines="0" w:after="0" w:afterLines="0" w:line="560" w:lineRule="exact"/>
        <w:rPr>
          <w:rFonts w:hint="eastAsia" w:ascii="黑体" w:hAnsi="黑体" w:eastAsia="黑体" w:cs="黑体"/>
          <w:kern w:val="0"/>
          <w:sz w:val="32"/>
          <w:szCs w:val="32"/>
        </w:rPr>
      </w:pPr>
      <w:r>
        <w:rPr>
          <w:rFonts w:hint="eastAsia" w:ascii="黑体" w:hAnsi="黑体" w:eastAsia="黑体" w:cs="黑体"/>
          <w:kern w:val="0"/>
          <w:sz w:val="32"/>
          <w:szCs w:val="32"/>
        </w:rPr>
        <w:t>二、</w:t>
      </w:r>
      <w:r>
        <w:rPr>
          <w:rFonts w:hint="eastAsia" w:ascii="黑体" w:hAnsi="黑体" w:eastAsia="黑体" w:cs="黑体"/>
          <w:kern w:val="0"/>
          <w:sz w:val="32"/>
          <w:szCs w:val="32"/>
          <w:lang w:val="en-US" w:eastAsia="zh-CN"/>
        </w:rPr>
        <w:t>实施</w:t>
      </w:r>
      <w:r>
        <w:rPr>
          <w:rFonts w:hint="eastAsia" w:ascii="黑体" w:hAnsi="黑体" w:eastAsia="黑体" w:cs="黑体"/>
          <w:kern w:val="0"/>
          <w:sz w:val="32"/>
          <w:szCs w:val="32"/>
        </w:rPr>
        <w:t>范围</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w:t>
      </w:r>
      <w:r>
        <w:rPr>
          <w:rFonts w:hint="eastAsia" w:ascii="仿宋_GB2312" w:hAnsi="仿宋_GB2312" w:eastAsia="仿宋_GB2312" w:cs="仿宋_GB2312"/>
          <w:kern w:val="0"/>
          <w:sz w:val="32"/>
          <w:szCs w:val="32"/>
          <w:lang w:val="en-US" w:eastAsia="zh-CN"/>
        </w:rPr>
        <w:t>指引</w:t>
      </w:r>
      <w:r>
        <w:rPr>
          <w:rFonts w:hint="eastAsia" w:ascii="仿宋_GB2312" w:hAnsi="仿宋_GB2312" w:eastAsia="仿宋_GB2312" w:cs="仿宋_GB2312"/>
          <w:kern w:val="0"/>
          <w:sz w:val="32"/>
          <w:szCs w:val="32"/>
        </w:rPr>
        <w:t>适用于深圳市</w:t>
      </w:r>
      <w:r>
        <w:rPr>
          <w:rFonts w:hint="eastAsia" w:ascii="仿宋_GB2312" w:hAnsi="仿宋_GB2312" w:eastAsia="仿宋_GB2312" w:cs="仿宋_GB2312"/>
          <w:kern w:val="0"/>
          <w:sz w:val="32"/>
          <w:szCs w:val="32"/>
          <w:lang w:eastAsia="zh-CN"/>
        </w:rPr>
        <w:t>行政区域内（深汕特别合作区可参照执行）特定区域</w:t>
      </w:r>
      <w:r>
        <w:rPr>
          <w:rFonts w:hint="eastAsia" w:ascii="仿宋_GB2312" w:hAnsi="仿宋_GB2312" w:eastAsia="仿宋_GB2312" w:cs="仿宋_GB2312"/>
          <w:kern w:val="0"/>
          <w:sz w:val="32"/>
          <w:szCs w:val="32"/>
        </w:rPr>
        <w:t>的房屋建筑和城市基础设施等工程建设项目的区域气候可行性论证、雷电灾害风险评估</w:t>
      </w:r>
      <w:r>
        <w:rPr>
          <w:rFonts w:hint="eastAsia" w:ascii="仿宋_GB2312" w:hAnsi="仿宋_GB2312" w:eastAsia="仿宋_GB2312" w:cs="仿宋_GB2312"/>
          <w:kern w:val="0"/>
          <w:sz w:val="32"/>
          <w:szCs w:val="32"/>
          <w:lang w:eastAsia="zh-CN"/>
        </w:rPr>
        <w:t>工作</w:t>
      </w:r>
      <w:r>
        <w:rPr>
          <w:rFonts w:hint="eastAsia" w:ascii="仿宋_GB2312" w:hAnsi="仿宋_GB2312" w:eastAsia="仿宋_GB2312" w:cs="仿宋_GB2312"/>
          <w:kern w:val="0"/>
          <w:sz w:val="32"/>
          <w:szCs w:val="32"/>
        </w:rPr>
        <w:t>。</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特定区域指</w:t>
      </w:r>
      <w:r>
        <w:rPr>
          <w:rFonts w:hint="eastAsia" w:ascii="仿宋_GB2312" w:hAnsi="仿宋_GB2312" w:eastAsia="仿宋_GB2312" w:cs="仿宋_GB2312"/>
          <w:kern w:val="0"/>
          <w:sz w:val="32"/>
          <w:szCs w:val="32"/>
        </w:rPr>
        <w:t>自由贸易试验区、各类开发区、产业园区</w:t>
      </w:r>
      <w:r>
        <w:rPr>
          <w:rFonts w:hint="eastAsia" w:ascii="仿宋_GB2312" w:hAnsi="仿宋_GB2312" w:eastAsia="仿宋_GB2312" w:cs="仿宋_GB2312"/>
          <w:kern w:val="0"/>
          <w:sz w:val="32"/>
          <w:szCs w:val="32"/>
          <w:lang w:eastAsia="zh-CN"/>
        </w:rPr>
        <w:t>和其他有条件的区域。</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特殊项目区域气候可行性论证、雷电灾害风险评估实行清单管理制度（详见附件3粤自然资函〔2019〕2284号文件的例外清单）。例外清单中的项目应依法依规开展单独的区域气候可行性论证、雷电灾害风险评估。</w:t>
      </w:r>
    </w:p>
    <w:p>
      <w:pPr>
        <w:pStyle w:val="7"/>
        <w:adjustRightInd w:val="0"/>
        <w:snapToGrid w:val="0"/>
        <w:spacing w:before="0" w:beforeLines="0" w:after="0" w:afterLines="0" w:line="560" w:lineRule="exact"/>
        <w:rPr>
          <w:rFonts w:hint="eastAsia" w:ascii="黑体" w:hAnsi="黑体" w:eastAsia="黑体" w:cs="黑体"/>
          <w:kern w:val="0"/>
          <w:sz w:val="32"/>
          <w:szCs w:val="32"/>
        </w:rPr>
      </w:pPr>
      <w:r>
        <w:rPr>
          <w:rFonts w:hint="eastAsia" w:ascii="黑体" w:hAnsi="黑体" w:eastAsia="黑体" w:cs="黑体"/>
          <w:kern w:val="0"/>
          <w:sz w:val="32"/>
          <w:szCs w:val="32"/>
        </w:rPr>
        <w:t>三、实施主体</w:t>
      </w:r>
    </w:p>
    <w:p>
      <w:pPr>
        <w:pStyle w:val="7"/>
        <w:widowControl/>
        <w:snapToGrid w:val="0"/>
        <w:spacing w:beforeLines="0" w:afterLines="0" w:line="560" w:lineRule="exact"/>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区域气候可行性论证、雷电灾害风险评估工作由特定区域的管理部门或机构负责具体实施。尚未成立管理机构的特定区域，由各区人民政府指定实施单位。</w:t>
      </w:r>
    </w:p>
    <w:p>
      <w:pPr>
        <w:pStyle w:val="7"/>
        <w:widowControl/>
        <w:snapToGrid w:val="0"/>
        <w:spacing w:beforeLines="0" w:afterLines="0" w:line="560" w:lineRule="exac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例外清单中的项目区域气候可行性论证、雷电灾害风险评估工作由项目建设方负责具体实施。</w:t>
      </w:r>
    </w:p>
    <w:p>
      <w:pPr>
        <w:pStyle w:val="7"/>
        <w:adjustRightInd w:val="0"/>
        <w:snapToGrid w:val="0"/>
        <w:spacing w:before="0" w:beforeLines="0" w:after="0" w:afterLines="0" w:line="560" w:lineRule="exact"/>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四</w:t>
      </w:r>
      <w:r>
        <w:rPr>
          <w:rFonts w:hint="eastAsia" w:ascii="黑体" w:hAnsi="黑体" w:eastAsia="黑体" w:cs="黑体"/>
          <w:kern w:val="0"/>
          <w:sz w:val="32"/>
          <w:szCs w:val="32"/>
        </w:rPr>
        <w:t>、实施方式</w:t>
      </w:r>
    </w:p>
    <w:p>
      <w:pPr>
        <w:pStyle w:val="7"/>
        <w:widowControl/>
        <w:snapToGrid w:val="0"/>
        <w:spacing w:beforeLines="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工程建设项目区域气候可行性论证、雷电灾害风险评估实施主体可以自行或委托第三方机构开展评估。</w:t>
      </w:r>
    </w:p>
    <w:p>
      <w:pPr>
        <w:pStyle w:val="7"/>
        <w:widowControl/>
        <w:snapToGrid w:val="0"/>
        <w:spacing w:beforeLines="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鼓励实施主体在特定区域内</w:t>
      </w:r>
      <w:r>
        <w:rPr>
          <w:rFonts w:hint="eastAsia" w:ascii="仿宋_GB2312" w:hAnsi="仿宋_GB2312" w:eastAsia="仿宋_GB2312" w:cs="仿宋_GB2312"/>
          <w:kern w:val="0"/>
          <w:sz w:val="32"/>
          <w:szCs w:val="32"/>
          <w:lang w:val="en-US" w:eastAsia="zh-CN"/>
        </w:rPr>
        <w:t>统筹</w:t>
      </w:r>
      <w:r>
        <w:rPr>
          <w:rFonts w:hint="eastAsia" w:ascii="仿宋_GB2312" w:hAnsi="仿宋_GB2312" w:eastAsia="仿宋_GB2312" w:cs="仿宋_GB2312"/>
          <w:kern w:val="0"/>
          <w:sz w:val="32"/>
          <w:szCs w:val="32"/>
        </w:rPr>
        <w:t>开展区域空间生态环境评价、水资源论证、地质灾害危险性评估、气候可行性论证、雷击风险评估等区域评估，区内的项目共享并免费使用评估成果。</w:t>
      </w:r>
    </w:p>
    <w:p>
      <w:pPr>
        <w:pStyle w:val="7"/>
        <w:adjustRightInd w:val="0"/>
        <w:snapToGrid w:val="0"/>
        <w:spacing w:before="0" w:beforeLines="0" w:after="0" w:afterLines="0" w:line="560" w:lineRule="exact"/>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、实施时间</w:t>
      </w:r>
    </w:p>
    <w:p>
      <w:pPr>
        <w:pStyle w:val="7"/>
        <w:widowControl/>
        <w:snapToGrid w:val="0"/>
        <w:spacing w:beforeLines="0" w:afterLines="0" w:line="560" w:lineRule="exac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特定区域内和例外清单中的</w:t>
      </w:r>
      <w:r>
        <w:rPr>
          <w:rFonts w:hint="eastAsia" w:ascii="仿宋_GB2312" w:hAnsi="仿宋_GB2312" w:eastAsia="仿宋_GB2312" w:cs="仿宋_GB2312"/>
          <w:kern w:val="0"/>
          <w:sz w:val="32"/>
          <w:szCs w:val="32"/>
        </w:rPr>
        <w:t xml:space="preserve">工程建设项目区域气候可行性论证、雷电灾害风险评估在在项目可行性研究报告之前启动评估和前期准备工作。 </w:t>
      </w:r>
    </w:p>
    <w:p>
      <w:pPr>
        <w:pStyle w:val="7"/>
        <w:numPr>
          <w:ilvl w:val="0"/>
          <w:numId w:val="1"/>
        </w:numPr>
        <w:adjustRightInd w:val="0"/>
        <w:snapToGrid w:val="0"/>
        <w:spacing w:before="0" w:beforeLines="0" w:after="0" w:afterLines="0" w:line="560" w:lineRule="exact"/>
        <w:rPr>
          <w:rFonts w:hint="eastAsia" w:ascii="黑体" w:hAnsi="黑体" w:eastAsia="黑体" w:cs="黑体"/>
          <w:kern w:val="0"/>
          <w:sz w:val="32"/>
          <w:szCs w:val="32"/>
          <w:lang w:eastAsia="zh-CN"/>
        </w:rPr>
      </w:pPr>
      <w:r>
        <w:rPr>
          <w:rFonts w:hint="eastAsia" w:ascii="黑体" w:hAnsi="黑体" w:eastAsia="黑体" w:cs="黑体"/>
          <w:kern w:val="0"/>
          <w:sz w:val="32"/>
          <w:szCs w:val="32"/>
          <w:lang w:eastAsia="zh-CN"/>
        </w:rPr>
        <w:t>评估机构能力</w:t>
      </w:r>
    </w:p>
    <w:p>
      <w:pPr>
        <w:pStyle w:val="7"/>
        <w:adjustRightInd w:val="0"/>
        <w:snapToGrid w:val="0"/>
        <w:spacing w:before="0" w:beforeLines="0" w:after="0" w:afterLines="0" w:line="560" w:lineRule="exact"/>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从事区域气候可行性论证、雷电灾害风险评估的第三方机构，应当符合</w:t>
      </w:r>
      <w:r>
        <w:rPr>
          <w:rFonts w:hint="eastAsia" w:ascii="仿宋_GB2312" w:hAnsi="仿宋_GB2312" w:eastAsia="仿宋_GB2312" w:cs="仿宋_GB2312"/>
          <w:kern w:val="0"/>
          <w:sz w:val="32"/>
          <w:szCs w:val="32"/>
        </w:rPr>
        <w:t>相应能力要求</w:t>
      </w:r>
      <w:r>
        <w:rPr>
          <w:rFonts w:hint="eastAsia" w:ascii="仿宋_GB2312" w:hAnsi="仿宋_GB2312" w:eastAsia="仿宋_GB2312" w:cs="仿宋_GB2312"/>
          <w:kern w:val="0"/>
          <w:sz w:val="32"/>
          <w:szCs w:val="32"/>
          <w:lang w:eastAsia="zh-CN"/>
        </w:rPr>
        <w:t>。</w:t>
      </w:r>
    </w:p>
    <w:p>
      <w:pPr>
        <w:pStyle w:val="7"/>
        <w:adjustRightInd w:val="0"/>
        <w:snapToGrid w:val="0"/>
        <w:spacing w:before="0" w:beforeLines="0" w:after="0" w:afterLines="0" w:line="560" w:lineRule="exact"/>
        <w:rPr>
          <w:rFonts w:hint="eastAsia" w:ascii="黑体" w:hAnsi="黑体" w:eastAsia="黑体" w:cs="黑体"/>
          <w:color w:val="FF0000"/>
          <w:kern w:val="0"/>
          <w:sz w:val="32"/>
          <w:szCs w:val="32"/>
        </w:rPr>
      </w:pPr>
      <w:r>
        <w:rPr>
          <w:rFonts w:hint="eastAsia" w:ascii="黑体" w:hAnsi="黑体" w:eastAsia="黑体" w:cs="黑体"/>
          <w:kern w:val="0"/>
          <w:sz w:val="32"/>
          <w:szCs w:val="32"/>
          <w:lang w:eastAsia="zh-CN"/>
        </w:rPr>
        <w:t>七、</w:t>
      </w:r>
      <w:r>
        <w:rPr>
          <w:rFonts w:hint="eastAsia" w:ascii="黑体" w:hAnsi="黑体" w:eastAsia="黑体" w:cs="黑体"/>
          <w:kern w:val="0"/>
          <w:sz w:val="32"/>
          <w:szCs w:val="32"/>
        </w:rPr>
        <w:t>区域评估主要内容</w:t>
      </w:r>
    </w:p>
    <w:p>
      <w:pPr>
        <w:pStyle w:val="7"/>
        <w:adjustRightInd w:val="0"/>
        <w:snapToGrid w:val="0"/>
        <w:spacing w:beforeLines="0" w:after="0" w:afterLines="0" w:line="560" w:lineRule="exact"/>
        <w:rPr>
          <w:rFonts w:hint="eastAsia" w:ascii="楷体_GB2312" w:hAnsi="楷体_GB2312" w:eastAsia="楷体_GB2312" w:cs="楷体_GB2312"/>
          <w:b w:val="0"/>
          <w:bCs w:val="0"/>
          <w:kern w:val="0"/>
          <w:sz w:val="32"/>
          <w:szCs w:val="32"/>
        </w:rPr>
      </w:pPr>
      <w:r>
        <w:rPr>
          <w:rFonts w:hint="eastAsia" w:ascii="楷体_GB2312" w:hAnsi="楷体_GB2312" w:eastAsia="楷体_GB2312" w:cs="楷体_GB2312"/>
          <w:b w:val="0"/>
          <w:bCs w:val="0"/>
          <w:kern w:val="0"/>
          <w:sz w:val="32"/>
          <w:szCs w:val="32"/>
        </w:rPr>
        <w:t>（一）气候可行性论证报告</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主要内容包括以下八个方面：</w:t>
      </w:r>
    </w:p>
    <w:p>
      <w:pPr>
        <w:pStyle w:val="7"/>
        <w:adjustRightInd w:val="0"/>
        <w:snapToGrid w:val="0"/>
        <w:spacing w:beforeLines="0" w:after="0" w:afterLines="0" w:line="560" w:lineRule="exac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1</w:t>
      </w:r>
      <w:r>
        <w:rPr>
          <w:rFonts w:hint="eastAsia" w:ascii="仿宋_GB2312" w:hAnsi="仿宋_GB2312" w:eastAsia="仿宋_GB2312" w:cs="仿宋_GB2312"/>
          <w:b/>
          <w:bCs/>
          <w:kern w:val="0"/>
          <w:sz w:val="32"/>
          <w:szCs w:val="32"/>
          <w:lang w:val="en-US" w:eastAsia="zh-CN"/>
        </w:rPr>
        <w:t>.</w:t>
      </w:r>
      <w:r>
        <w:rPr>
          <w:rFonts w:hint="eastAsia" w:ascii="仿宋_GB2312" w:hAnsi="仿宋_GB2312" w:eastAsia="仿宋_GB2312" w:cs="仿宋_GB2312"/>
          <w:b/>
          <w:bCs/>
          <w:kern w:val="0"/>
          <w:sz w:val="32"/>
          <w:szCs w:val="32"/>
        </w:rPr>
        <w:t>区域项目概况</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区域项目名称、委托单位、评估范围、背景、区域地理位置和环境特征、规划建设规模与已有工程组成。</w:t>
      </w:r>
    </w:p>
    <w:p>
      <w:pPr>
        <w:pStyle w:val="7"/>
        <w:adjustRightInd w:val="0"/>
        <w:snapToGrid w:val="0"/>
        <w:spacing w:beforeLines="0" w:after="0" w:afterLines="0" w:line="560" w:lineRule="exac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2</w:t>
      </w:r>
      <w:r>
        <w:rPr>
          <w:rFonts w:hint="eastAsia" w:ascii="仿宋_GB2312" w:hAnsi="仿宋_GB2312" w:eastAsia="仿宋_GB2312" w:cs="仿宋_GB2312"/>
          <w:b/>
          <w:bCs/>
          <w:kern w:val="0"/>
          <w:sz w:val="32"/>
          <w:szCs w:val="32"/>
          <w:lang w:val="en-US" w:eastAsia="zh-CN"/>
        </w:rPr>
        <w:t>.</w:t>
      </w:r>
      <w:r>
        <w:rPr>
          <w:rFonts w:hint="eastAsia" w:ascii="仿宋_GB2312" w:hAnsi="仿宋_GB2312" w:eastAsia="仿宋_GB2312" w:cs="仿宋_GB2312"/>
          <w:b/>
          <w:bCs/>
          <w:kern w:val="0"/>
          <w:sz w:val="32"/>
          <w:szCs w:val="32"/>
        </w:rPr>
        <w:t>编制依据</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相关法律法规、技术标准、行业规范等。</w:t>
      </w:r>
    </w:p>
    <w:p>
      <w:pPr>
        <w:pStyle w:val="7"/>
        <w:adjustRightInd w:val="0"/>
        <w:snapToGrid w:val="0"/>
        <w:spacing w:beforeLines="0" w:after="0" w:afterLines="0" w:line="560" w:lineRule="exac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3</w:t>
      </w:r>
      <w:r>
        <w:rPr>
          <w:rFonts w:hint="eastAsia" w:ascii="仿宋_GB2312" w:hAnsi="仿宋_GB2312" w:eastAsia="仿宋_GB2312" w:cs="仿宋_GB2312"/>
          <w:b/>
          <w:bCs/>
          <w:kern w:val="0"/>
          <w:sz w:val="32"/>
          <w:szCs w:val="32"/>
          <w:lang w:eastAsia="zh-CN"/>
        </w:rPr>
        <w:t>.</w:t>
      </w:r>
      <w:r>
        <w:rPr>
          <w:rFonts w:hint="eastAsia" w:ascii="仿宋_GB2312" w:hAnsi="仿宋_GB2312" w:eastAsia="仿宋_GB2312" w:cs="仿宋_GB2312"/>
          <w:b/>
          <w:bCs/>
          <w:kern w:val="0"/>
          <w:sz w:val="32"/>
          <w:szCs w:val="32"/>
        </w:rPr>
        <w:t>资料收集及处理方法</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含基础资料来源及其代表性、可靠性说明，通过现场观测所取得的资料，还应当对观测仪器、观测方法、观测环境和观测数据有效性进行说明。</w:t>
      </w:r>
    </w:p>
    <w:p>
      <w:pPr>
        <w:pStyle w:val="7"/>
        <w:adjustRightInd w:val="0"/>
        <w:snapToGrid w:val="0"/>
        <w:spacing w:beforeLines="0" w:after="0" w:afterLines="0" w:line="560" w:lineRule="exac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4</w:t>
      </w:r>
      <w:r>
        <w:rPr>
          <w:rFonts w:hint="eastAsia" w:ascii="仿宋_GB2312" w:hAnsi="仿宋_GB2312" w:eastAsia="仿宋_GB2312" w:cs="仿宋_GB2312"/>
          <w:b/>
          <w:bCs/>
          <w:kern w:val="0"/>
          <w:sz w:val="32"/>
          <w:szCs w:val="32"/>
          <w:lang w:val="en-US" w:eastAsia="zh-CN"/>
        </w:rPr>
        <w:t>.</w:t>
      </w:r>
      <w:r>
        <w:rPr>
          <w:rFonts w:hint="eastAsia" w:ascii="仿宋_GB2312" w:hAnsi="仿宋_GB2312" w:eastAsia="仿宋_GB2312" w:cs="仿宋_GB2312"/>
          <w:b/>
          <w:bCs/>
          <w:kern w:val="0"/>
          <w:sz w:val="32"/>
          <w:szCs w:val="32"/>
        </w:rPr>
        <w:t>区域气候背景分析</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收集与评价区域地理位置邻近且处于同一气候区的气象站信息，参证气象站和专用气象站的相关气象资料。其中国家气象站应收集至少30年气象资料，且需包括最近5年的气象资料；区域气象站应收集近5年气象资料。</w:t>
      </w:r>
    </w:p>
    <w:p>
      <w:pPr>
        <w:pStyle w:val="7"/>
        <w:adjustRightInd w:val="0"/>
        <w:snapToGrid w:val="0"/>
        <w:spacing w:beforeLines="0" w:after="0" w:afterLines="0" w:line="560" w:lineRule="exac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5</w:t>
      </w:r>
      <w:r>
        <w:rPr>
          <w:rFonts w:hint="eastAsia" w:ascii="仿宋_GB2312" w:hAnsi="仿宋_GB2312" w:eastAsia="仿宋_GB2312" w:cs="仿宋_GB2312"/>
          <w:b/>
          <w:bCs/>
          <w:kern w:val="0"/>
          <w:sz w:val="32"/>
          <w:szCs w:val="32"/>
          <w:lang w:eastAsia="zh-CN"/>
        </w:rPr>
        <w:t>.</w:t>
      </w:r>
      <w:r>
        <w:rPr>
          <w:rFonts w:hint="eastAsia" w:ascii="仿宋_GB2312" w:hAnsi="仿宋_GB2312" w:eastAsia="仿宋_GB2312" w:cs="仿宋_GB2312"/>
          <w:b/>
          <w:bCs/>
          <w:kern w:val="0"/>
          <w:sz w:val="32"/>
          <w:szCs w:val="32"/>
        </w:rPr>
        <w:t>高影响天气情况分析</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区域评估应收集区域评估范围内及周边近10年以上的气象灾情资料，数据来源真实可靠。根据所在地气候特征、地理位置、灾情资料，分析本地气象敏感要素，识别对区域规划建设有影响的高影响天气，并进行高影响天气风险评估。</w:t>
      </w:r>
    </w:p>
    <w:p>
      <w:pPr>
        <w:pStyle w:val="7"/>
        <w:adjustRightInd w:val="0"/>
        <w:snapToGrid w:val="0"/>
        <w:spacing w:beforeLines="0" w:after="0" w:afterLines="0" w:line="560" w:lineRule="exac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6</w:t>
      </w:r>
      <w:r>
        <w:rPr>
          <w:rFonts w:hint="eastAsia" w:ascii="仿宋_GB2312" w:hAnsi="仿宋_GB2312" w:eastAsia="仿宋_GB2312" w:cs="仿宋_GB2312"/>
          <w:b/>
          <w:bCs/>
          <w:kern w:val="0"/>
          <w:sz w:val="32"/>
          <w:szCs w:val="32"/>
          <w:lang w:eastAsia="zh-CN"/>
        </w:rPr>
        <w:t>.</w:t>
      </w:r>
      <w:r>
        <w:rPr>
          <w:rFonts w:hint="eastAsia" w:ascii="仿宋_GB2312" w:hAnsi="仿宋_GB2312" w:eastAsia="仿宋_GB2312" w:cs="仿宋_GB2312"/>
          <w:b/>
          <w:bCs/>
          <w:kern w:val="0"/>
          <w:sz w:val="32"/>
          <w:szCs w:val="32"/>
        </w:rPr>
        <w:t>工程气象参数计算、区域气象灾害风险综合评估</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根据区域的特点和项目资料，选取适合的技术路线进行计算。选用的风险评估方法应符合国家、行业、地方相关标准的要求。</w:t>
      </w:r>
    </w:p>
    <w:p>
      <w:pPr>
        <w:pStyle w:val="7"/>
        <w:adjustRightInd w:val="0"/>
        <w:snapToGrid w:val="0"/>
        <w:spacing w:beforeLines="0" w:after="0" w:afterLines="0" w:line="560" w:lineRule="exac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7</w:t>
      </w:r>
      <w:r>
        <w:rPr>
          <w:rFonts w:hint="eastAsia" w:ascii="仿宋_GB2312" w:hAnsi="仿宋_GB2312" w:eastAsia="仿宋_GB2312" w:cs="仿宋_GB2312"/>
          <w:b/>
          <w:bCs/>
          <w:kern w:val="0"/>
          <w:sz w:val="32"/>
          <w:szCs w:val="32"/>
          <w:lang w:eastAsia="zh-CN"/>
        </w:rPr>
        <w:t>.</w:t>
      </w:r>
      <w:r>
        <w:rPr>
          <w:rFonts w:hint="eastAsia" w:ascii="仿宋_GB2312" w:hAnsi="仿宋_GB2312" w:eastAsia="仿宋_GB2312" w:cs="仿宋_GB2312"/>
          <w:b/>
          <w:bCs/>
          <w:kern w:val="0"/>
          <w:sz w:val="32"/>
          <w:szCs w:val="32"/>
        </w:rPr>
        <w:t>气象灾害防御措施与建议</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区域特点，在计算分析和总结的基础上，说明评估结论的适用性，并提出评估区域不同阶段（规划、设计、建设、运营）、不同关注点（合理布局、规划建设、防灾减灾等等）、重点或高危险企业应侧重关注的高影响天气特征、高风险区块等，并提出灾害的防御措施与建议。</w:t>
      </w:r>
    </w:p>
    <w:p>
      <w:pPr>
        <w:pStyle w:val="7"/>
        <w:adjustRightInd w:val="0"/>
        <w:snapToGrid w:val="0"/>
        <w:spacing w:beforeLines="0" w:after="0" w:afterLines="0" w:line="560" w:lineRule="exac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8</w:t>
      </w:r>
      <w:r>
        <w:rPr>
          <w:rFonts w:hint="eastAsia" w:ascii="仿宋_GB2312" w:hAnsi="仿宋_GB2312" w:eastAsia="仿宋_GB2312" w:cs="仿宋_GB2312"/>
          <w:b/>
          <w:bCs/>
          <w:kern w:val="0"/>
          <w:sz w:val="32"/>
          <w:szCs w:val="32"/>
          <w:lang w:val="en-US" w:eastAsia="zh-CN"/>
        </w:rPr>
        <w:t>.</w:t>
      </w:r>
      <w:r>
        <w:rPr>
          <w:rFonts w:hint="eastAsia" w:ascii="仿宋_GB2312" w:hAnsi="仿宋_GB2312" w:eastAsia="仿宋_GB2312" w:cs="仿宋_GB2312"/>
          <w:b/>
          <w:bCs/>
          <w:kern w:val="0"/>
          <w:sz w:val="32"/>
          <w:szCs w:val="32"/>
        </w:rPr>
        <w:t>结论</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报告结论应包括以下内容：</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——概述评估开展基本情况；</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——简要说明评估范围的气候背景，以及气象灾害情况；</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——给出评估范围内的关键气象因子统计分析及高影响天气风险评估结果</w:t>
      </w:r>
      <w:r>
        <w:rPr>
          <w:rFonts w:hint="eastAsia" w:ascii="仿宋_GB2312" w:hAnsi="仿宋_GB2312" w:eastAsia="仿宋_GB2312" w:cs="仿宋_GB2312"/>
          <w:kern w:val="0"/>
          <w:sz w:val="32"/>
          <w:szCs w:val="32"/>
          <w:lang w:eastAsia="zh-CN"/>
        </w:rPr>
        <w:t>，及极端天气气候事件出现的概率、强度</w:t>
      </w:r>
      <w:r>
        <w:rPr>
          <w:rFonts w:hint="eastAsia" w:ascii="仿宋_GB2312" w:hAnsi="仿宋_GB2312" w:eastAsia="仿宋_GB2312" w:cs="仿宋_GB2312"/>
          <w:kern w:val="0"/>
          <w:sz w:val="32"/>
          <w:szCs w:val="32"/>
        </w:rPr>
        <w:t>；</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——给出结果的适用范围及不确定性；</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——综合结论及建议。</w:t>
      </w:r>
    </w:p>
    <w:p>
      <w:pPr>
        <w:pStyle w:val="7"/>
        <w:adjustRightInd w:val="0"/>
        <w:snapToGrid w:val="0"/>
        <w:spacing w:before="0" w:beforeLines="0" w:after="0" w:afterLines="0" w:line="560" w:lineRule="exact"/>
        <w:rPr>
          <w:rFonts w:hint="eastAsia" w:ascii="楷体_GB2312" w:hAnsi="楷体_GB2312" w:eastAsia="楷体_GB2312" w:cs="楷体_GB2312"/>
          <w:b w:val="0"/>
          <w:bCs w:val="0"/>
          <w:kern w:val="0"/>
          <w:sz w:val="32"/>
          <w:szCs w:val="32"/>
        </w:rPr>
      </w:pPr>
      <w:r>
        <w:rPr>
          <w:rFonts w:hint="eastAsia" w:ascii="楷体_GB2312" w:hAnsi="楷体_GB2312" w:eastAsia="楷体_GB2312" w:cs="楷体_GB2312"/>
          <w:b w:val="0"/>
          <w:bCs w:val="0"/>
          <w:kern w:val="0"/>
          <w:sz w:val="32"/>
          <w:szCs w:val="32"/>
        </w:rPr>
        <w:t>（二）雷电灾害风险评估报告</w:t>
      </w:r>
    </w:p>
    <w:p>
      <w:pPr>
        <w:pStyle w:val="7"/>
        <w:adjustRightInd w:val="0"/>
        <w:snapToGrid w:val="0"/>
        <w:spacing w:before="0"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主要内容包括以下八个方面：</w:t>
      </w:r>
    </w:p>
    <w:p>
      <w:pPr>
        <w:pStyle w:val="7"/>
        <w:adjustRightInd w:val="0"/>
        <w:snapToGrid w:val="0"/>
        <w:spacing w:beforeLines="0" w:after="0" w:afterLines="0" w:line="560" w:lineRule="exac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1</w:t>
      </w:r>
      <w:r>
        <w:rPr>
          <w:rFonts w:hint="eastAsia" w:ascii="仿宋_GB2312" w:hAnsi="仿宋_GB2312" w:eastAsia="仿宋_GB2312" w:cs="仿宋_GB2312"/>
          <w:b/>
          <w:bCs/>
          <w:kern w:val="0"/>
          <w:sz w:val="32"/>
          <w:szCs w:val="32"/>
          <w:lang w:eastAsia="zh-CN"/>
        </w:rPr>
        <w:t>.</w:t>
      </w:r>
      <w:r>
        <w:rPr>
          <w:rFonts w:hint="eastAsia" w:ascii="仿宋_GB2312" w:hAnsi="仿宋_GB2312" w:eastAsia="仿宋_GB2312" w:cs="仿宋_GB2312"/>
          <w:b/>
          <w:bCs/>
          <w:kern w:val="0"/>
          <w:sz w:val="32"/>
          <w:szCs w:val="32"/>
        </w:rPr>
        <w:t>评估说明</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应包括项目名称、委托单位、评估范围、编制依据等内容；</w:t>
      </w:r>
    </w:p>
    <w:p>
      <w:pPr>
        <w:pStyle w:val="7"/>
        <w:adjustRightInd w:val="0"/>
        <w:snapToGrid w:val="0"/>
        <w:spacing w:beforeLines="0" w:after="0" w:afterLines="0" w:line="560" w:lineRule="exac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2</w:t>
      </w:r>
      <w:r>
        <w:rPr>
          <w:rFonts w:hint="eastAsia" w:ascii="仿宋_GB2312" w:hAnsi="仿宋_GB2312" w:eastAsia="仿宋_GB2312" w:cs="仿宋_GB2312"/>
          <w:b/>
          <w:bCs/>
          <w:kern w:val="0"/>
          <w:sz w:val="32"/>
          <w:szCs w:val="32"/>
          <w:lang w:val="en-US" w:eastAsia="zh-CN"/>
        </w:rPr>
        <w:t>.</w:t>
      </w:r>
      <w:r>
        <w:rPr>
          <w:rFonts w:hint="eastAsia" w:ascii="仿宋_GB2312" w:hAnsi="仿宋_GB2312" w:eastAsia="仿宋_GB2312" w:cs="仿宋_GB2312"/>
          <w:b/>
          <w:bCs/>
          <w:kern w:val="0"/>
          <w:sz w:val="32"/>
          <w:szCs w:val="32"/>
        </w:rPr>
        <w:t>区域内规划和建设项目概况</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简要说明区域项目背景、区域地理位置和环境特征、规划建设规模与已有工程组成。</w:t>
      </w:r>
    </w:p>
    <w:p>
      <w:pPr>
        <w:pStyle w:val="7"/>
        <w:adjustRightInd w:val="0"/>
        <w:snapToGrid w:val="0"/>
        <w:spacing w:beforeLines="0" w:after="0" w:afterLines="0" w:line="560" w:lineRule="exac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3</w:t>
      </w:r>
      <w:r>
        <w:rPr>
          <w:rFonts w:hint="eastAsia" w:ascii="仿宋_GB2312" w:hAnsi="仿宋_GB2312" w:eastAsia="仿宋_GB2312" w:cs="仿宋_GB2312"/>
          <w:b/>
          <w:bCs/>
          <w:kern w:val="0"/>
          <w:sz w:val="32"/>
          <w:szCs w:val="32"/>
          <w:lang w:val="en-US" w:eastAsia="zh-CN"/>
        </w:rPr>
        <w:t>.</w:t>
      </w:r>
      <w:r>
        <w:rPr>
          <w:rFonts w:hint="eastAsia" w:ascii="仿宋_GB2312" w:hAnsi="仿宋_GB2312" w:eastAsia="仿宋_GB2312" w:cs="仿宋_GB2312"/>
          <w:b/>
          <w:bCs/>
          <w:kern w:val="0"/>
          <w:sz w:val="32"/>
          <w:szCs w:val="32"/>
        </w:rPr>
        <w:t>现场勘测及资料收集</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基础资料来源及其代表性、可靠性说明，通过现场探测所取得的资料，还应当对探测仪器、探测方法、探测环境和探测数据有效性进行说明；</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需描述勘测评估区域地理位置和环境特征。土壤电阻率的采集方法和测量条件应满足规范要求。</w:t>
      </w:r>
    </w:p>
    <w:p>
      <w:pPr>
        <w:pStyle w:val="7"/>
        <w:adjustRightInd w:val="0"/>
        <w:snapToGrid w:val="0"/>
        <w:spacing w:beforeLines="0" w:after="0" w:afterLines="0" w:line="560" w:lineRule="exac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4</w:t>
      </w:r>
      <w:r>
        <w:rPr>
          <w:rFonts w:hint="eastAsia" w:ascii="仿宋_GB2312" w:hAnsi="仿宋_GB2312" w:eastAsia="仿宋_GB2312" w:cs="仿宋_GB2312"/>
          <w:b/>
          <w:bCs/>
          <w:kern w:val="0"/>
          <w:sz w:val="32"/>
          <w:szCs w:val="32"/>
          <w:lang w:val="en-US" w:eastAsia="zh-CN"/>
        </w:rPr>
        <w:t>.</w:t>
      </w:r>
      <w:r>
        <w:rPr>
          <w:rFonts w:hint="eastAsia" w:ascii="仿宋_GB2312" w:hAnsi="仿宋_GB2312" w:eastAsia="仿宋_GB2312" w:cs="仿宋_GB2312"/>
          <w:b/>
          <w:bCs/>
          <w:kern w:val="0"/>
          <w:sz w:val="32"/>
          <w:szCs w:val="32"/>
        </w:rPr>
        <w:t>区域大气雷电环境分析</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气象雷电资料包含气象雷暴日数据、广东省闪电定位系统监测数据和地面大气电场监测数据。</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具体要求如下：</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——收集评估区域最近气象观测站的雷暴日数据，所用数据为近30年（1981-2010年）的平均值。</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收集评估区域边界外扩3km、5km范围内历史闪电定位系统监测数据。应说明闪电定位系统监测数据来源和布站情况，历史闪电定位系统监测数据至少需要10个完整年的雷电数据，最新数据应在近5年内。数据包括雷击时间、经纬度、雷电流幅值等参数。</w:t>
      </w:r>
    </w:p>
    <w:p>
      <w:pPr>
        <w:pStyle w:val="7"/>
        <w:adjustRightInd w:val="0"/>
        <w:snapToGrid w:val="0"/>
        <w:spacing w:beforeLines="0" w:after="0" w:afterLines="0" w:line="560" w:lineRule="exac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5</w:t>
      </w:r>
      <w:r>
        <w:rPr>
          <w:rFonts w:hint="eastAsia" w:ascii="仿宋_GB2312" w:hAnsi="仿宋_GB2312" w:eastAsia="仿宋_GB2312" w:cs="仿宋_GB2312"/>
          <w:b/>
          <w:bCs/>
          <w:kern w:val="0"/>
          <w:sz w:val="32"/>
          <w:szCs w:val="32"/>
          <w:lang w:val="en-US" w:eastAsia="zh-CN"/>
        </w:rPr>
        <w:t>.</w:t>
      </w:r>
      <w:r>
        <w:rPr>
          <w:rFonts w:hint="eastAsia" w:ascii="仿宋_GB2312" w:hAnsi="仿宋_GB2312" w:eastAsia="仿宋_GB2312" w:cs="仿宋_GB2312"/>
          <w:b/>
          <w:bCs/>
          <w:kern w:val="0"/>
          <w:sz w:val="32"/>
          <w:szCs w:val="32"/>
        </w:rPr>
        <w:t>区域雷电灾害情况分析</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区域评估范围内及周边近10年以上的雷电灾情资料雷电灾害资料，以及相关行业的雷电灾情资料雷电灾害资料，包含人员伤亡和经济损失，数据来源真实可靠。</w:t>
      </w:r>
    </w:p>
    <w:p>
      <w:pPr>
        <w:pStyle w:val="7"/>
        <w:adjustRightInd w:val="0"/>
        <w:snapToGrid w:val="0"/>
        <w:spacing w:beforeLines="0" w:after="0" w:afterLines="0" w:line="560" w:lineRule="exac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6</w:t>
      </w:r>
      <w:r>
        <w:rPr>
          <w:rFonts w:hint="eastAsia" w:ascii="仿宋_GB2312" w:hAnsi="仿宋_GB2312" w:eastAsia="仿宋_GB2312" w:cs="仿宋_GB2312"/>
          <w:b/>
          <w:bCs/>
          <w:kern w:val="0"/>
          <w:sz w:val="32"/>
          <w:szCs w:val="32"/>
          <w:lang w:eastAsia="zh-CN"/>
        </w:rPr>
        <w:t>.</w:t>
      </w:r>
      <w:r>
        <w:rPr>
          <w:rFonts w:hint="eastAsia" w:ascii="仿宋_GB2312" w:hAnsi="仿宋_GB2312" w:eastAsia="仿宋_GB2312" w:cs="仿宋_GB2312"/>
          <w:b/>
          <w:bCs/>
          <w:kern w:val="0"/>
          <w:sz w:val="32"/>
          <w:szCs w:val="32"/>
        </w:rPr>
        <w:t>区域雷电灾害风险综合评估</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根据区域的特点和项目资料，选取适合的技术路线。选用的风险评估方法应符合国家、行业、地方相关标准的要求。</w:t>
      </w:r>
    </w:p>
    <w:p>
      <w:pPr>
        <w:pStyle w:val="7"/>
        <w:adjustRightInd w:val="0"/>
        <w:snapToGrid w:val="0"/>
        <w:spacing w:beforeLines="0" w:after="0" w:afterLines="0" w:line="560" w:lineRule="exac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7</w:t>
      </w:r>
      <w:r>
        <w:rPr>
          <w:rFonts w:hint="eastAsia" w:ascii="仿宋_GB2312" w:hAnsi="仿宋_GB2312" w:eastAsia="仿宋_GB2312" w:cs="仿宋_GB2312"/>
          <w:b/>
          <w:bCs/>
          <w:kern w:val="0"/>
          <w:sz w:val="32"/>
          <w:szCs w:val="32"/>
          <w:lang w:eastAsia="zh-CN"/>
        </w:rPr>
        <w:t>.</w:t>
      </w:r>
      <w:r>
        <w:rPr>
          <w:rFonts w:hint="eastAsia" w:ascii="仿宋_GB2312" w:hAnsi="仿宋_GB2312" w:eastAsia="仿宋_GB2312" w:cs="仿宋_GB2312"/>
          <w:b/>
          <w:bCs/>
          <w:kern w:val="0"/>
          <w:sz w:val="32"/>
          <w:szCs w:val="32"/>
        </w:rPr>
        <w:t>防御和减轻雷电灾害的对策、措施和建议</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区域特点，在计算分析和总结的基础上，说明评估结论的适用性，并提出评估区域不同阶段（规划、设计、建设、运营）、不同关注点（合理布局、规划建设、防灾减灾等等）、重点或高危险企业应侧重关注的雷电特征、高风险区块等，并提出雷电灾害的防御措施与建议。</w:t>
      </w:r>
    </w:p>
    <w:p>
      <w:pPr>
        <w:pStyle w:val="7"/>
        <w:adjustRightInd w:val="0"/>
        <w:snapToGrid w:val="0"/>
        <w:spacing w:beforeLines="0" w:after="0" w:afterLines="0" w:line="560" w:lineRule="exac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8</w:t>
      </w:r>
      <w:r>
        <w:rPr>
          <w:rFonts w:hint="eastAsia" w:ascii="仿宋_GB2312" w:hAnsi="仿宋_GB2312" w:eastAsia="仿宋_GB2312" w:cs="仿宋_GB2312"/>
          <w:b/>
          <w:bCs/>
          <w:kern w:val="0"/>
          <w:sz w:val="32"/>
          <w:szCs w:val="32"/>
          <w:lang w:val="en-US" w:eastAsia="zh-CN"/>
        </w:rPr>
        <w:t>.</w:t>
      </w:r>
      <w:r>
        <w:rPr>
          <w:rFonts w:hint="eastAsia" w:ascii="仿宋_GB2312" w:hAnsi="仿宋_GB2312" w:eastAsia="仿宋_GB2312" w:cs="仿宋_GB2312"/>
          <w:b/>
          <w:bCs/>
          <w:kern w:val="0"/>
          <w:sz w:val="32"/>
          <w:szCs w:val="32"/>
        </w:rPr>
        <w:t>结论</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报告结论应包括以下内容：</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——概述评估开展基本情况；</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——简要说明评估范围的雷电环境背景，以及雷电灾害情况；</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——给出评估范围内的关键雷电参数统计分析及雷电风险评估结果；</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——给出结果的适用范围及不确定性；</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——综合结论</w:t>
      </w:r>
      <w:r>
        <w:rPr>
          <w:rFonts w:hint="eastAsia" w:ascii="仿宋_GB2312" w:hAnsi="仿宋_GB2312" w:eastAsia="仿宋_GB2312" w:cs="仿宋_GB2312"/>
          <w:kern w:val="0"/>
          <w:sz w:val="32"/>
          <w:szCs w:val="32"/>
          <w:lang w:eastAsia="zh-CN"/>
        </w:rPr>
        <w:t>并提出</w:t>
      </w:r>
      <w:r>
        <w:rPr>
          <w:rFonts w:hint="eastAsia" w:ascii="仿宋_GB2312" w:hAnsi="仿宋_GB2312" w:eastAsia="仿宋_GB2312" w:cs="仿宋_GB2312"/>
          <w:color w:val="000000"/>
          <w:kern w:val="0"/>
          <w:sz w:val="32"/>
          <w:szCs w:val="32"/>
          <w:lang w:val="en-US" w:eastAsia="zh-CN"/>
        </w:rPr>
        <w:t>雷电灾害的防御措施、及其技术和经济可行性论证相关</w:t>
      </w:r>
      <w:r>
        <w:rPr>
          <w:rFonts w:hint="eastAsia" w:ascii="仿宋_GB2312" w:hAnsi="仿宋_GB2312" w:eastAsia="仿宋_GB2312" w:cs="仿宋_GB2312"/>
          <w:kern w:val="0"/>
          <w:sz w:val="32"/>
          <w:szCs w:val="32"/>
        </w:rPr>
        <w:t>建议。</w:t>
      </w:r>
    </w:p>
    <w:p>
      <w:pPr>
        <w:pStyle w:val="7"/>
        <w:adjustRightInd w:val="0"/>
        <w:snapToGrid w:val="0"/>
        <w:spacing w:before="0" w:beforeLines="0" w:after="0" w:afterLines="0" w:line="560" w:lineRule="exact"/>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八</w:t>
      </w:r>
      <w:r>
        <w:rPr>
          <w:rFonts w:hint="eastAsia" w:ascii="黑体" w:hAnsi="黑体" w:eastAsia="黑体" w:cs="黑体"/>
          <w:kern w:val="0"/>
          <w:sz w:val="32"/>
          <w:szCs w:val="32"/>
        </w:rPr>
        <w:t>、评估气象资料要求</w:t>
      </w:r>
    </w:p>
    <w:p>
      <w:pPr>
        <w:pStyle w:val="7"/>
        <w:adjustRightInd w:val="0"/>
        <w:snapToGrid w:val="0"/>
        <w:spacing w:before="0"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区域气候可行性论证、雷电灾害风险评估工作中所有资料必须合法、真实及可靠。气象资料须符合国家气象技术标准，其他资料须符合相应行业的技术标准。现有的气象资料不能满足需求时，确需开展现场气象探测的，应当遵守气象探测有关法律法规和标准规范。</w:t>
      </w:r>
    </w:p>
    <w:p>
      <w:pPr>
        <w:pStyle w:val="7"/>
        <w:adjustRightInd w:val="0"/>
        <w:snapToGrid w:val="0"/>
        <w:spacing w:before="0" w:beforeLines="0" w:after="0" w:afterLines="0" w:line="560" w:lineRule="exact"/>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九</w:t>
      </w:r>
      <w:r>
        <w:rPr>
          <w:rFonts w:hint="eastAsia" w:ascii="黑体" w:hAnsi="黑体" w:eastAsia="黑体" w:cs="黑体"/>
          <w:kern w:val="0"/>
          <w:sz w:val="32"/>
          <w:szCs w:val="32"/>
        </w:rPr>
        <w:t>、成果共享和使用</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市气象局对评估成果进行统一管理，区域气候可行性论证、雷电灾害风险评估报告应报</w:t>
      </w:r>
      <w:r>
        <w:rPr>
          <w:rFonts w:hint="eastAsia" w:ascii="仿宋_GB2312" w:hAnsi="仿宋_GB2312" w:eastAsia="仿宋_GB2312" w:cs="仿宋_GB2312"/>
          <w:kern w:val="0"/>
          <w:sz w:val="32"/>
          <w:szCs w:val="32"/>
          <w:lang w:eastAsia="zh-CN"/>
        </w:rPr>
        <w:t>市</w:t>
      </w:r>
      <w:r>
        <w:rPr>
          <w:rFonts w:hint="eastAsia" w:ascii="仿宋_GB2312" w:hAnsi="仿宋_GB2312" w:eastAsia="仿宋_GB2312" w:cs="仿宋_GB2312"/>
          <w:kern w:val="0"/>
          <w:sz w:val="32"/>
          <w:szCs w:val="32"/>
        </w:rPr>
        <w:t>气象</w:t>
      </w:r>
      <w:r>
        <w:rPr>
          <w:rFonts w:hint="eastAsia" w:ascii="仿宋_GB2312" w:hAnsi="仿宋_GB2312" w:eastAsia="仿宋_GB2312" w:cs="仿宋_GB2312"/>
          <w:kern w:val="0"/>
          <w:sz w:val="32"/>
          <w:szCs w:val="32"/>
          <w:lang w:eastAsia="zh-CN"/>
        </w:rPr>
        <w:t>局</w:t>
      </w:r>
      <w:r>
        <w:rPr>
          <w:rFonts w:hint="eastAsia" w:ascii="仿宋_GB2312" w:hAnsi="仿宋_GB2312" w:eastAsia="仿宋_GB2312" w:cs="仿宋_GB2312"/>
          <w:kern w:val="0"/>
          <w:sz w:val="32"/>
          <w:szCs w:val="32"/>
        </w:rPr>
        <w:t>登记公示，</w:t>
      </w:r>
      <w:r>
        <w:rPr>
          <w:rFonts w:hint="eastAsia" w:ascii="仿宋_GB2312" w:hAnsi="仿宋_GB2312" w:eastAsia="仿宋_GB2312" w:cs="仿宋_GB2312"/>
          <w:kern w:val="0"/>
          <w:sz w:val="32"/>
          <w:szCs w:val="32"/>
          <w:lang w:val="en-US" w:eastAsia="zh-CN"/>
        </w:rPr>
        <w:t>对符合公示条件的评估结果由市气象局通过多规合一平台进行汇交，</w:t>
      </w:r>
      <w:r>
        <w:rPr>
          <w:rFonts w:hint="eastAsia" w:ascii="仿宋_GB2312" w:hAnsi="仿宋_GB2312" w:eastAsia="仿宋_GB2312" w:cs="仿宋_GB2312"/>
          <w:kern w:val="0"/>
          <w:sz w:val="32"/>
          <w:szCs w:val="32"/>
        </w:rPr>
        <w:t>供特定区域内拟进驻的工程建设项目单位统一使用。对于符合成果适用条件的工程建设项目，各级行业主管部门应直接适用相关区域评估成果，例外清单中的项目除外。</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设计单位在设计特定区域的项目时，应当结合区域气候可行性论证、雷电灾害风险评估结论进行设计。</w:t>
      </w:r>
    </w:p>
    <w:p>
      <w:pPr>
        <w:pStyle w:val="7"/>
        <w:adjustRightInd w:val="0"/>
        <w:snapToGrid w:val="0"/>
        <w:spacing w:before="0" w:beforeLines="0" w:after="0" w:afterLines="0" w:line="560" w:lineRule="exact"/>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kern w:val="0"/>
          <w:sz w:val="32"/>
          <w:szCs w:val="32"/>
        </w:rPr>
        <w:t>区域气候可行性论证、雷电灾害风险评估</w:t>
      </w:r>
      <w:r>
        <w:rPr>
          <w:rFonts w:hint="eastAsia" w:ascii="仿宋_GB2312" w:hAnsi="仿宋_GB2312" w:eastAsia="仿宋_GB2312" w:cs="仿宋_GB2312"/>
          <w:b/>
          <w:bCs/>
          <w:color w:val="000000"/>
          <w:kern w:val="0"/>
          <w:sz w:val="32"/>
          <w:szCs w:val="32"/>
        </w:rPr>
        <w:t>报告登记公示流程：</w:t>
      </w:r>
    </w:p>
    <w:p>
      <w:pPr>
        <w:pStyle w:val="7"/>
        <w:adjustRightInd w:val="0"/>
        <w:snapToGrid w:val="0"/>
        <w:spacing w:beforeLines="0" w:afterLines="0" w:line="560" w:lineRule="exact"/>
        <w:rPr>
          <w:rFonts w:hint="eastAsia" w:ascii="楷体_GB2312" w:hAnsi="楷体_GB2312" w:eastAsia="楷体_GB2312" w:cs="楷体_GB2312"/>
          <w:b w:val="0"/>
          <w:bCs w:val="0"/>
          <w:kern w:val="0"/>
          <w:sz w:val="32"/>
          <w:szCs w:val="32"/>
        </w:rPr>
      </w:pPr>
      <w:r>
        <w:rPr>
          <w:rFonts w:hint="eastAsia" w:ascii="楷体_GB2312" w:hAnsi="楷体_GB2312" w:eastAsia="楷体_GB2312" w:cs="楷体_GB2312"/>
          <w:b w:val="0"/>
          <w:bCs w:val="0"/>
          <w:kern w:val="0"/>
          <w:sz w:val="32"/>
          <w:szCs w:val="32"/>
        </w:rPr>
        <w:t>（一）申请</w:t>
      </w:r>
    </w:p>
    <w:p>
      <w:pPr>
        <w:pStyle w:val="7"/>
        <w:widowControl/>
        <w:adjustRightInd w:val="0"/>
        <w:snapToGrid w:val="0"/>
        <w:spacing w:beforeLines="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区域气候可行性论证、雷电灾害风险评估</w:t>
      </w:r>
      <w:r>
        <w:rPr>
          <w:rFonts w:hint="eastAsia" w:ascii="仿宋_GB2312" w:hAnsi="仿宋_GB2312" w:eastAsia="仿宋_GB2312" w:cs="仿宋_GB2312"/>
          <w:color w:val="000000"/>
          <w:kern w:val="0"/>
          <w:sz w:val="32"/>
          <w:szCs w:val="32"/>
        </w:rPr>
        <w:t>报告登记公示</w:t>
      </w:r>
      <w:r>
        <w:rPr>
          <w:rFonts w:hint="eastAsia" w:ascii="仿宋_GB2312" w:hAnsi="仿宋_GB2312" w:eastAsia="仿宋_GB2312" w:cs="仿宋_GB2312"/>
          <w:kern w:val="0"/>
          <w:sz w:val="32"/>
          <w:szCs w:val="32"/>
        </w:rPr>
        <w:t>申请，申请地址：深圳市福田区竹子林园博园东门气象路深圳市气象局办公大楼4楼，咨询电话：88398197(逐步纳入多规平台网上办理）；</w:t>
      </w:r>
    </w:p>
    <w:p>
      <w:pPr>
        <w:pStyle w:val="7"/>
        <w:adjustRightInd w:val="0"/>
        <w:snapToGrid w:val="0"/>
        <w:spacing w:beforeLines="0" w:afterLines="0" w:line="560" w:lineRule="exact"/>
        <w:rPr>
          <w:rFonts w:hint="eastAsia" w:ascii="楷体_GB2312" w:hAnsi="楷体_GB2312" w:eastAsia="楷体_GB2312" w:cs="楷体_GB2312"/>
          <w:b w:val="0"/>
          <w:bCs w:val="0"/>
          <w:kern w:val="0"/>
          <w:sz w:val="32"/>
          <w:szCs w:val="32"/>
        </w:rPr>
      </w:pPr>
      <w:r>
        <w:rPr>
          <w:rFonts w:hint="eastAsia" w:ascii="楷体_GB2312" w:hAnsi="楷体_GB2312" w:eastAsia="楷体_GB2312" w:cs="楷体_GB2312"/>
          <w:b w:val="0"/>
          <w:bCs w:val="0"/>
          <w:kern w:val="0"/>
          <w:sz w:val="32"/>
          <w:szCs w:val="32"/>
        </w:rPr>
        <w:t>（二）材料初审</w:t>
      </w:r>
    </w:p>
    <w:p>
      <w:pPr>
        <w:pStyle w:val="7"/>
        <w:widowControl/>
        <w:adjustRightInd w:val="0"/>
        <w:snapToGrid w:val="0"/>
        <w:spacing w:beforeLines="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经办人进行申请材料初审（不合格则退回申请人，并一次性告知不合格理由或所缺少的材料）； </w:t>
      </w:r>
    </w:p>
    <w:p>
      <w:pPr>
        <w:pStyle w:val="7"/>
        <w:adjustRightInd w:val="0"/>
        <w:snapToGrid w:val="0"/>
        <w:spacing w:beforeLines="0" w:afterLines="0" w:line="560" w:lineRule="exact"/>
        <w:rPr>
          <w:rFonts w:hint="eastAsia" w:ascii="楷体_GB2312" w:hAnsi="楷体_GB2312" w:eastAsia="楷体_GB2312" w:cs="楷体_GB2312"/>
          <w:b w:val="0"/>
          <w:bCs w:val="0"/>
          <w:kern w:val="0"/>
          <w:sz w:val="32"/>
          <w:szCs w:val="32"/>
        </w:rPr>
      </w:pPr>
      <w:r>
        <w:rPr>
          <w:rFonts w:hint="eastAsia" w:ascii="楷体_GB2312" w:hAnsi="楷体_GB2312" w:eastAsia="楷体_GB2312" w:cs="楷体_GB2312"/>
          <w:b w:val="0"/>
          <w:bCs w:val="0"/>
          <w:kern w:val="0"/>
          <w:sz w:val="32"/>
          <w:szCs w:val="32"/>
        </w:rPr>
        <w:t>（三）审核</w:t>
      </w:r>
    </w:p>
    <w:p>
      <w:pPr>
        <w:pStyle w:val="7"/>
        <w:widowControl/>
        <w:adjustRightInd w:val="0"/>
        <w:snapToGrid w:val="0"/>
        <w:spacing w:beforeLines="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审核通过的评估报告在市气象局门户网站公示，并向申请人发放《准予登记公示通知书》；审核未通过的，不予公示，并书面告知申请人审核结果。</w:t>
      </w:r>
    </w:p>
    <w:p>
      <w:pPr>
        <w:pStyle w:val="7"/>
        <w:adjustRightInd w:val="0"/>
        <w:snapToGrid w:val="0"/>
        <w:spacing w:before="0" w:beforeLines="0" w:after="0" w:afterLines="0" w:line="560" w:lineRule="exact"/>
        <w:rPr>
          <w:rFonts w:hint="eastAsia" w:ascii="黑体" w:hAnsi="黑体" w:eastAsia="黑体" w:cs="黑体"/>
          <w:b w:val="0"/>
          <w:kern w:val="0"/>
          <w:sz w:val="32"/>
          <w:szCs w:val="32"/>
        </w:rPr>
      </w:pPr>
      <w:r>
        <w:rPr>
          <w:rFonts w:hint="eastAsia" w:ascii="黑体" w:hAnsi="黑体" w:eastAsia="黑体" w:cs="黑体"/>
          <w:kern w:val="0"/>
          <w:sz w:val="32"/>
          <w:szCs w:val="32"/>
          <w:lang w:val="en-US" w:eastAsia="zh-CN"/>
        </w:rPr>
        <w:t>十</w:t>
      </w:r>
      <w:r>
        <w:rPr>
          <w:rFonts w:hint="eastAsia" w:ascii="黑体" w:hAnsi="黑体" w:eastAsia="黑体" w:cs="黑体"/>
          <w:kern w:val="0"/>
          <w:sz w:val="32"/>
          <w:szCs w:val="32"/>
        </w:rPr>
        <w:t>、评估报告时效期</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区域气候可行性论证评估报告时效期为10年，区域雷电灾害风险评估报告时效期为5年。期满后应当重新进行评估。</w:t>
      </w:r>
    </w:p>
    <w:p>
      <w:pPr>
        <w:pStyle w:val="7"/>
        <w:adjustRightInd w:val="0"/>
        <w:snapToGrid w:val="0"/>
        <w:spacing w:before="0" w:beforeLines="0" w:after="0" w:afterLines="0" w:line="560" w:lineRule="exact"/>
        <w:rPr>
          <w:rFonts w:hint="eastAsia" w:ascii="黑体" w:hAnsi="黑体" w:eastAsia="黑体" w:cs="黑体"/>
          <w:color w:val="auto"/>
          <w:kern w:val="0"/>
          <w:sz w:val="32"/>
          <w:szCs w:val="32"/>
        </w:rPr>
      </w:pPr>
      <w:r>
        <w:rPr>
          <w:rFonts w:hint="eastAsia" w:ascii="黑体" w:hAnsi="黑体" w:eastAsia="黑体" w:cs="黑体"/>
          <w:color w:val="auto"/>
          <w:kern w:val="0"/>
          <w:sz w:val="32"/>
          <w:szCs w:val="32"/>
          <w:lang w:val="en-US" w:eastAsia="zh-CN"/>
        </w:rPr>
        <w:t>十一</w:t>
      </w:r>
      <w:r>
        <w:rPr>
          <w:rFonts w:hint="eastAsia" w:ascii="黑体" w:hAnsi="黑体" w:eastAsia="黑体" w:cs="黑体"/>
          <w:color w:val="auto"/>
          <w:kern w:val="0"/>
          <w:sz w:val="32"/>
          <w:szCs w:val="32"/>
        </w:rPr>
        <w:t>、监督管理</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市气象</w:t>
      </w:r>
      <w:r>
        <w:rPr>
          <w:rFonts w:hint="eastAsia" w:ascii="仿宋_GB2312" w:hAnsi="仿宋_GB2312" w:eastAsia="仿宋_GB2312" w:cs="仿宋_GB2312"/>
          <w:kern w:val="0"/>
          <w:sz w:val="32"/>
          <w:szCs w:val="32"/>
          <w:lang w:eastAsia="zh-CN"/>
        </w:rPr>
        <w:t>局负责</w:t>
      </w:r>
      <w:r>
        <w:rPr>
          <w:rFonts w:hint="eastAsia" w:ascii="仿宋_GB2312" w:hAnsi="仿宋_GB2312" w:eastAsia="仿宋_GB2312" w:cs="仿宋_GB2312"/>
          <w:kern w:val="0"/>
          <w:sz w:val="32"/>
          <w:szCs w:val="32"/>
        </w:rPr>
        <w:t>对本行政区域内的区域气候可行性论证、雷电灾害风险评估工作及报告应用情况进行定期或不定期监督检查，并将监督检查情况向本级人民政府、上级气象主管机构报告，同时通报给同级相关部门。</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市气象</w:t>
      </w:r>
      <w:r>
        <w:rPr>
          <w:rFonts w:hint="eastAsia" w:ascii="仿宋_GB2312" w:hAnsi="仿宋_GB2312" w:eastAsia="仿宋_GB2312" w:cs="仿宋_GB2312"/>
          <w:kern w:val="0"/>
          <w:sz w:val="32"/>
          <w:szCs w:val="32"/>
          <w:lang w:eastAsia="zh-CN"/>
        </w:rPr>
        <w:t>局</w:t>
      </w:r>
      <w:r>
        <w:rPr>
          <w:rFonts w:hint="eastAsia" w:ascii="仿宋_GB2312" w:hAnsi="仿宋_GB2312" w:eastAsia="仿宋_GB2312" w:cs="仿宋_GB2312"/>
          <w:kern w:val="0"/>
          <w:sz w:val="32"/>
          <w:szCs w:val="32"/>
        </w:rPr>
        <w:t>依据法律法规及规章规定，按照权限对区域气候可行性论证、雷电灾害风险评估活动中的以下事项进行监管和处理，构成犯罪的，依法追究相关责任。</w:t>
      </w:r>
    </w:p>
    <w:p>
      <w:pPr>
        <w:pStyle w:val="7"/>
        <w:adjustRightInd w:val="0"/>
        <w:snapToGrid w:val="0"/>
        <w:spacing w:beforeLines="0" w:after="0" w:afterLines="0" w:line="560" w:lineRule="exact"/>
        <w:rPr>
          <w:rFonts w:hint="eastAsia" w:ascii="仿宋_GB2312" w:hAnsi="仿宋_GB2312" w:eastAsia="仿宋_GB2312" w:cs="仿宋_GB2312"/>
          <w:kern w:val="0"/>
          <w:sz w:val="32"/>
          <w:szCs w:val="32"/>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kern w:val="0"/>
          <w:sz w:val="32"/>
          <w:szCs w:val="32"/>
        </w:rPr>
        <w:t>市气象</w:t>
      </w:r>
      <w:r>
        <w:rPr>
          <w:rFonts w:hint="eastAsia" w:ascii="仿宋_GB2312" w:hAnsi="仿宋_GB2312" w:eastAsia="仿宋_GB2312" w:cs="仿宋_GB2312"/>
          <w:kern w:val="0"/>
          <w:sz w:val="32"/>
          <w:szCs w:val="32"/>
          <w:lang w:eastAsia="zh-CN"/>
        </w:rPr>
        <w:t>局负责</w:t>
      </w:r>
      <w:r>
        <w:rPr>
          <w:rFonts w:hint="eastAsia" w:ascii="仿宋_GB2312" w:hAnsi="仿宋_GB2312" w:eastAsia="仿宋_GB2312" w:cs="仿宋_GB2312"/>
          <w:kern w:val="0"/>
          <w:sz w:val="32"/>
          <w:szCs w:val="32"/>
        </w:rPr>
        <w:t>公开监督检查情况和处理结果，并将处理结果在公共媒体向社会公开。</w:t>
      </w:r>
    </w:p>
    <w:p>
      <w:pPr>
        <w:widowControl w:val="0"/>
        <w:spacing w:before="0" w:beforeLines="0" w:after="0" w:afterLines="0"/>
        <w:rPr>
          <w:rFonts w:ascii="黑体" w:hAnsi="黑体" w:eastAsia="黑体" w:cs="黑体"/>
          <w:bCs/>
          <w:sz w:val="32"/>
          <w:szCs w:val="32"/>
        </w:rPr>
      </w:pPr>
      <w:r>
        <w:rPr>
          <w:rFonts w:hint="eastAsia" w:ascii="黑体" w:hAnsi="黑体" w:eastAsia="黑体" w:cs="黑体"/>
          <w:bCs/>
          <w:sz w:val="32"/>
          <w:szCs w:val="32"/>
        </w:rPr>
        <w:t>附件3</w:t>
      </w:r>
    </w:p>
    <w:p>
      <w:pPr>
        <w:keepNext/>
        <w:widowControl/>
        <w:spacing w:before="0" w:beforeLines="0" w:after="0" w:afterLines="0" w:line="520" w:lineRule="exact"/>
        <w:jc w:val="center"/>
        <w:outlineLvl w:val="1"/>
        <w:rPr>
          <w:rFonts w:hint="eastAsia" w:ascii="方正小标宋简体" w:hAnsi="方正小标宋简体" w:eastAsia="方正小标宋简体" w:cs="方正小标宋简体"/>
          <w:sz w:val="44"/>
          <w:szCs w:val="44"/>
        </w:rPr>
      </w:pPr>
    </w:p>
    <w:p>
      <w:pPr>
        <w:keepNext/>
        <w:widowControl/>
        <w:spacing w:before="0" w:beforeLines="0" w:after="0" w:afterLines="0" w:line="520" w:lineRule="exact"/>
        <w:jc w:val="center"/>
        <w:outlineLvl w:val="1"/>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区域气候可行性论证、雷电灾害风险评估</w:t>
      </w:r>
    </w:p>
    <w:p>
      <w:pPr>
        <w:keepNext/>
        <w:widowControl/>
        <w:spacing w:before="0" w:beforeLines="0" w:after="0" w:afterLines="0" w:line="520" w:lineRule="exact"/>
        <w:jc w:val="center"/>
        <w:outlineLvl w:val="1"/>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例外清单项目</w:t>
      </w:r>
    </w:p>
    <w:p>
      <w:pPr>
        <w:pStyle w:val="2"/>
        <w:spacing w:beforeLines="0" w:after="0" w:afterLines="0" w:line="520" w:lineRule="exact"/>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920"/>
        <w:gridCol w:w="1743"/>
        <w:gridCol w:w="4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1422" w:type="dxa"/>
            <w:noWrap w:val="0"/>
            <w:vAlign w:val="top"/>
          </w:tcPr>
          <w:p>
            <w:pPr>
              <w:pStyle w:val="10"/>
              <w:spacing w:line="500" w:lineRule="exact"/>
              <w:ind w:firstLine="0" w:firstLineChars="0"/>
              <w:jc w:val="center"/>
              <w:rPr>
                <w:rFonts w:ascii="仿宋_GB2312" w:hAnsi="仿宋" w:eastAsia="仿宋_GB2312"/>
                <w:b/>
                <w:sz w:val="24"/>
              </w:rPr>
            </w:pPr>
            <w:r>
              <w:rPr>
                <w:rFonts w:hint="eastAsia" w:ascii="仿宋_GB2312" w:hAnsi="仿宋" w:eastAsia="仿宋_GB2312"/>
                <w:b/>
                <w:sz w:val="24"/>
              </w:rPr>
              <w:t>区域评估</w:t>
            </w:r>
          </w:p>
        </w:tc>
        <w:tc>
          <w:tcPr>
            <w:tcW w:w="1920" w:type="dxa"/>
            <w:noWrap w:val="0"/>
            <w:vAlign w:val="top"/>
          </w:tcPr>
          <w:p>
            <w:pPr>
              <w:pStyle w:val="10"/>
              <w:spacing w:line="500" w:lineRule="exact"/>
              <w:ind w:firstLine="0" w:firstLineChars="0"/>
              <w:jc w:val="center"/>
              <w:rPr>
                <w:rFonts w:ascii="仿宋_GB2312" w:hAnsi="仿宋" w:eastAsia="仿宋_GB2312"/>
                <w:b/>
                <w:sz w:val="24"/>
              </w:rPr>
            </w:pPr>
            <w:r>
              <w:rPr>
                <w:rFonts w:hint="eastAsia" w:ascii="仿宋_GB2312" w:hAnsi="仿宋" w:eastAsia="仿宋_GB2312"/>
                <w:b/>
                <w:sz w:val="24"/>
              </w:rPr>
              <w:t>类 型</w:t>
            </w:r>
          </w:p>
        </w:tc>
        <w:tc>
          <w:tcPr>
            <w:tcW w:w="5766" w:type="dxa"/>
            <w:gridSpan w:val="2"/>
            <w:noWrap w:val="0"/>
            <w:vAlign w:val="top"/>
          </w:tcPr>
          <w:p>
            <w:pPr>
              <w:pStyle w:val="10"/>
              <w:spacing w:line="500" w:lineRule="exact"/>
              <w:ind w:firstLine="0" w:firstLineChars="0"/>
              <w:jc w:val="center"/>
              <w:rPr>
                <w:rFonts w:ascii="仿宋_GB2312" w:hAnsi="仿宋" w:eastAsia="仿宋_GB2312"/>
                <w:b/>
                <w:sz w:val="24"/>
              </w:rPr>
            </w:pPr>
            <w:r>
              <w:rPr>
                <w:rFonts w:hint="eastAsia" w:ascii="仿宋_GB2312" w:hAnsi="仿宋" w:eastAsia="仿宋_GB2312"/>
                <w:b/>
                <w:sz w:val="24"/>
              </w:rPr>
              <w:t>规模或标准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1422" w:type="dxa"/>
            <w:vMerge w:val="restart"/>
            <w:noWrap w:val="0"/>
            <w:vAlign w:val="center"/>
          </w:tcPr>
          <w:p>
            <w:pPr>
              <w:pStyle w:val="10"/>
              <w:spacing w:line="340" w:lineRule="exact"/>
              <w:ind w:firstLine="0" w:firstLineChars="0"/>
              <w:jc w:val="center"/>
              <w:rPr>
                <w:rFonts w:ascii="仿宋_GB2312" w:hAnsi="仿宋" w:eastAsia="仿宋_GB2312"/>
                <w:sz w:val="24"/>
              </w:rPr>
            </w:pPr>
            <w:r>
              <w:rPr>
                <w:rFonts w:hint="eastAsia" w:ascii="仿宋_GB2312" w:hAnsi="仿宋" w:eastAsia="仿宋_GB2312"/>
                <w:sz w:val="24"/>
              </w:rPr>
              <w:t>气候可行性论证</w:t>
            </w:r>
          </w:p>
        </w:tc>
        <w:tc>
          <w:tcPr>
            <w:tcW w:w="1920" w:type="dxa"/>
            <w:noWrap w:val="0"/>
            <w:vAlign w:val="center"/>
          </w:tcPr>
          <w:p>
            <w:pPr>
              <w:pStyle w:val="10"/>
              <w:spacing w:line="340" w:lineRule="exact"/>
              <w:ind w:firstLine="0" w:firstLineChars="0"/>
              <w:jc w:val="center"/>
              <w:rPr>
                <w:rFonts w:ascii="仿宋_GB2312" w:hAnsi="仿宋" w:eastAsia="仿宋_GB2312"/>
                <w:sz w:val="24"/>
              </w:rPr>
            </w:pPr>
            <w:r>
              <w:rPr>
                <w:rFonts w:hint="eastAsia" w:ascii="仿宋_GB2312" w:hAnsi="仿宋" w:eastAsia="仿宋_GB2312" w:cs="宋体"/>
                <w:spacing w:val="8"/>
                <w:kern w:val="0"/>
                <w:sz w:val="24"/>
              </w:rPr>
              <w:t>重大投资项目</w:t>
            </w:r>
          </w:p>
        </w:tc>
        <w:tc>
          <w:tcPr>
            <w:tcW w:w="5766" w:type="dxa"/>
            <w:gridSpan w:val="2"/>
            <w:noWrap w:val="0"/>
            <w:vAlign w:val="center"/>
          </w:tcPr>
          <w:p>
            <w:pPr>
              <w:pStyle w:val="10"/>
              <w:spacing w:line="340" w:lineRule="exact"/>
              <w:ind w:firstLine="0" w:firstLineChars="0"/>
              <w:rPr>
                <w:rFonts w:ascii="仿宋_GB2312" w:hAnsi="仿宋" w:eastAsia="仿宋_GB2312" w:cs="宋体"/>
                <w:spacing w:val="8"/>
                <w:kern w:val="0"/>
                <w:sz w:val="24"/>
              </w:rPr>
            </w:pPr>
            <w:r>
              <w:rPr>
                <w:rFonts w:hint="eastAsia" w:ascii="仿宋_GB2312" w:hAnsi="仿宋" w:eastAsia="仿宋_GB2312" w:cs="宋体"/>
                <w:spacing w:val="8"/>
                <w:kern w:val="0"/>
                <w:sz w:val="24"/>
              </w:rPr>
              <w:t>省级及以上政府核准的交通、水利、能源、化工等领域重大投资项目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422" w:type="dxa"/>
            <w:vMerge w:val="continue"/>
            <w:noWrap w:val="0"/>
            <w:vAlign w:val="center"/>
          </w:tcPr>
          <w:p>
            <w:pPr>
              <w:pStyle w:val="10"/>
              <w:spacing w:line="340" w:lineRule="exact"/>
              <w:ind w:firstLine="0" w:firstLineChars="0"/>
              <w:jc w:val="center"/>
              <w:rPr>
                <w:rFonts w:ascii="仿宋_GB2312" w:hAnsi="仿宋" w:eastAsia="仿宋_GB2312"/>
                <w:sz w:val="24"/>
              </w:rPr>
            </w:pPr>
          </w:p>
        </w:tc>
        <w:tc>
          <w:tcPr>
            <w:tcW w:w="1920" w:type="dxa"/>
            <w:noWrap w:val="0"/>
            <w:vAlign w:val="center"/>
          </w:tcPr>
          <w:p>
            <w:pPr>
              <w:pStyle w:val="10"/>
              <w:spacing w:line="340" w:lineRule="exact"/>
              <w:ind w:firstLine="0" w:firstLineChars="0"/>
              <w:jc w:val="both"/>
              <w:rPr>
                <w:rFonts w:ascii="仿宋_GB2312" w:hAnsi="仿宋" w:eastAsia="仿宋_GB2312"/>
                <w:sz w:val="24"/>
              </w:rPr>
            </w:pPr>
            <w:r>
              <w:rPr>
                <w:rFonts w:hint="eastAsia" w:ascii="仿宋_GB2312" w:hAnsi="仿宋" w:eastAsia="仿宋_GB2312"/>
                <w:color w:val="000000"/>
                <w:sz w:val="24"/>
              </w:rPr>
              <w:t>高耸建筑工程</w:t>
            </w:r>
          </w:p>
        </w:tc>
        <w:tc>
          <w:tcPr>
            <w:tcW w:w="5766" w:type="dxa"/>
            <w:gridSpan w:val="2"/>
            <w:noWrap w:val="0"/>
            <w:vAlign w:val="center"/>
          </w:tcPr>
          <w:p>
            <w:pPr>
              <w:pStyle w:val="10"/>
              <w:spacing w:line="340" w:lineRule="exact"/>
              <w:ind w:firstLine="0" w:firstLineChars="0"/>
              <w:rPr>
                <w:rFonts w:ascii="仿宋_GB2312" w:hAnsi="仿宋" w:eastAsia="仿宋_GB2312" w:cs="宋体"/>
                <w:spacing w:val="8"/>
                <w:kern w:val="0"/>
                <w:sz w:val="24"/>
              </w:rPr>
            </w:pPr>
            <w:r>
              <w:rPr>
                <w:rFonts w:hint="eastAsia" w:ascii="仿宋_GB2312" w:hAnsi="仿宋" w:eastAsia="仿宋_GB2312" w:cs="宋体"/>
                <w:spacing w:val="8"/>
                <w:kern w:val="0"/>
                <w:sz w:val="24"/>
              </w:rPr>
              <w:t>高耸建筑物：≥300米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422" w:type="dxa"/>
            <w:vMerge w:val="continue"/>
            <w:noWrap w:val="0"/>
            <w:vAlign w:val="center"/>
          </w:tcPr>
          <w:p>
            <w:pPr>
              <w:pStyle w:val="10"/>
              <w:spacing w:line="340" w:lineRule="exact"/>
              <w:ind w:firstLine="0" w:firstLineChars="0"/>
              <w:jc w:val="center"/>
              <w:rPr>
                <w:rFonts w:ascii="仿宋_GB2312" w:hAnsi="仿宋" w:eastAsia="仿宋_GB2312"/>
                <w:sz w:val="24"/>
              </w:rPr>
            </w:pPr>
          </w:p>
        </w:tc>
        <w:tc>
          <w:tcPr>
            <w:tcW w:w="1920" w:type="dxa"/>
            <w:vMerge w:val="restart"/>
            <w:noWrap w:val="0"/>
            <w:vAlign w:val="center"/>
          </w:tcPr>
          <w:p>
            <w:pPr>
              <w:pStyle w:val="10"/>
              <w:spacing w:line="340" w:lineRule="exact"/>
              <w:ind w:firstLine="0" w:firstLineChars="0"/>
              <w:jc w:val="center"/>
              <w:rPr>
                <w:rFonts w:ascii="仿宋_GB2312" w:hAnsi="仿宋" w:eastAsia="仿宋_GB2312"/>
                <w:sz w:val="24"/>
              </w:rPr>
            </w:pPr>
            <w:r>
              <w:rPr>
                <w:rFonts w:hint="eastAsia" w:ascii="仿宋_GB2312" w:hAnsi="仿宋" w:eastAsia="仿宋_GB2312"/>
                <w:color w:val="000000"/>
                <w:sz w:val="24"/>
              </w:rPr>
              <w:t>水利、发电、送电、变电、核能工程</w:t>
            </w:r>
          </w:p>
        </w:tc>
        <w:tc>
          <w:tcPr>
            <w:tcW w:w="5766" w:type="dxa"/>
            <w:gridSpan w:val="2"/>
            <w:noWrap w:val="0"/>
            <w:vAlign w:val="center"/>
          </w:tcPr>
          <w:p>
            <w:pPr>
              <w:pStyle w:val="10"/>
              <w:spacing w:line="340" w:lineRule="exact"/>
              <w:ind w:firstLine="0" w:firstLineChars="0"/>
              <w:rPr>
                <w:rFonts w:ascii="仿宋_GB2312" w:hAnsi="仿宋" w:eastAsia="仿宋_GB2312" w:cs="宋体"/>
                <w:spacing w:val="8"/>
                <w:kern w:val="0"/>
                <w:sz w:val="24"/>
              </w:rPr>
            </w:pPr>
            <w:r>
              <w:rPr>
                <w:rFonts w:hint="eastAsia" w:ascii="仿宋_GB2312" w:hAnsi="仿宋" w:eastAsia="仿宋_GB2312" w:cs="宋体"/>
                <w:spacing w:val="8"/>
                <w:kern w:val="0"/>
                <w:sz w:val="24"/>
              </w:rPr>
              <w:t>垃圾焚烧发电工程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422" w:type="dxa"/>
            <w:vMerge w:val="continue"/>
            <w:noWrap w:val="0"/>
            <w:vAlign w:val="center"/>
          </w:tcPr>
          <w:p>
            <w:pPr>
              <w:pStyle w:val="10"/>
              <w:spacing w:line="340" w:lineRule="exact"/>
              <w:ind w:firstLine="0" w:firstLineChars="0"/>
              <w:jc w:val="center"/>
              <w:rPr>
                <w:rFonts w:ascii="仿宋_GB2312" w:hAnsi="仿宋" w:eastAsia="仿宋_GB2312"/>
                <w:sz w:val="24"/>
              </w:rPr>
            </w:pPr>
          </w:p>
        </w:tc>
        <w:tc>
          <w:tcPr>
            <w:tcW w:w="1920" w:type="dxa"/>
            <w:vMerge w:val="continue"/>
            <w:noWrap w:val="0"/>
            <w:vAlign w:val="center"/>
          </w:tcPr>
          <w:p>
            <w:pPr>
              <w:pStyle w:val="10"/>
              <w:spacing w:line="340" w:lineRule="exact"/>
              <w:ind w:firstLine="0" w:firstLineChars="0"/>
              <w:jc w:val="center"/>
              <w:rPr>
                <w:rFonts w:ascii="仿宋_GB2312" w:hAnsi="仿宋" w:eastAsia="仿宋_GB2312"/>
                <w:sz w:val="24"/>
              </w:rPr>
            </w:pPr>
          </w:p>
        </w:tc>
        <w:tc>
          <w:tcPr>
            <w:tcW w:w="5766" w:type="dxa"/>
            <w:gridSpan w:val="2"/>
            <w:noWrap w:val="0"/>
            <w:vAlign w:val="center"/>
          </w:tcPr>
          <w:p>
            <w:pPr>
              <w:pStyle w:val="10"/>
              <w:spacing w:line="340" w:lineRule="exact"/>
              <w:ind w:firstLine="0" w:firstLineChars="0"/>
              <w:rPr>
                <w:rFonts w:ascii="仿宋_GB2312" w:hAnsi="仿宋" w:eastAsia="仿宋_GB2312" w:cs="宋体"/>
                <w:spacing w:val="8"/>
                <w:kern w:val="0"/>
                <w:sz w:val="24"/>
              </w:rPr>
            </w:pPr>
            <w:r>
              <w:rPr>
                <w:rFonts w:hint="eastAsia" w:ascii="仿宋_GB2312" w:hAnsi="仿宋" w:eastAsia="仿宋_GB2312" w:cs="宋体"/>
                <w:spacing w:val="8"/>
                <w:kern w:val="0"/>
                <w:sz w:val="24"/>
              </w:rPr>
              <w:t>核工业、放射性药品工程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1422" w:type="dxa"/>
            <w:vMerge w:val="continue"/>
            <w:noWrap w:val="0"/>
            <w:vAlign w:val="center"/>
          </w:tcPr>
          <w:p>
            <w:pPr>
              <w:pStyle w:val="10"/>
              <w:spacing w:line="340" w:lineRule="exact"/>
              <w:ind w:firstLine="0" w:firstLineChars="0"/>
              <w:jc w:val="center"/>
              <w:rPr>
                <w:rFonts w:ascii="仿宋_GB2312" w:hAnsi="仿宋" w:eastAsia="仿宋_GB2312"/>
                <w:sz w:val="24"/>
              </w:rPr>
            </w:pPr>
          </w:p>
        </w:tc>
        <w:tc>
          <w:tcPr>
            <w:tcW w:w="1920" w:type="dxa"/>
            <w:noWrap w:val="0"/>
            <w:vAlign w:val="center"/>
          </w:tcPr>
          <w:p>
            <w:pPr>
              <w:pStyle w:val="10"/>
              <w:spacing w:line="340" w:lineRule="exact"/>
              <w:ind w:firstLine="0" w:firstLineChars="0"/>
              <w:jc w:val="center"/>
              <w:rPr>
                <w:rFonts w:ascii="仿宋_GB2312" w:hAnsi="仿宋" w:eastAsia="仿宋_GB2312"/>
                <w:sz w:val="24"/>
              </w:rPr>
            </w:pPr>
            <w:r>
              <w:rPr>
                <w:rFonts w:hint="eastAsia" w:ascii="仿宋_GB2312" w:hAnsi="仿宋" w:eastAsia="仿宋_GB2312"/>
                <w:sz w:val="24"/>
              </w:rPr>
              <w:t>其他项目</w:t>
            </w:r>
          </w:p>
        </w:tc>
        <w:tc>
          <w:tcPr>
            <w:tcW w:w="5766" w:type="dxa"/>
            <w:gridSpan w:val="2"/>
            <w:noWrap w:val="0"/>
            <w:vAlign w:val="center"/>
          </w:tcPr>
          <w:p>
            <w:pPr>
              <w:pStyle w:val="10"/>
              <w:spacing w:line="340" w:lineRule="exact"/>
              <w:ind w:firstLine="0" w:firstLineChars="0"/>
              <w:rPr>
                <w:rFonts w:ascii="仿宋_GB2312" w:hAnsi="仿宋" w:eastAsia="仿宋_GB2312" w:cs="宋体"/>
                <w:spacing w:val="8"/>
                <w:kern w:val="0"/>
                <w:sz w:val="24"/>
              </w:rPr>
            </w:pPr>
            <w:r>
              <w:rPr>
                <w:rFonts w:hint="eastAsia" w:ascii="仿宋_GB2312" w:hAnsi="仿宋" w:eastAsia="仿宋_GB2312" w:cs="宋体"/>
                <w:spacing w:val="8"/>
                <w:kern w:val="0"/>
                <w:sz w:val="24"/>
              </w:rPr>
              <w:t>其他依照法律、法规和规章的规定需要进行气候分析和论证的项目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422" w:type="dxa"/>
            <w:vMerge w:val="restart"/>
            <w:noWrap w:val="0"/>
            <w:vAlign w:val="center"/>
          </w:tcPr>
          <w:p>
            <w:pPr>
              <w:pStyle w:val="10"/>
              <w:spacing w:line="340" w:lineRule="exact"/>
              <w:ind w:firstLine="120" w:firstLineChars="50"/>
              <w:jc w:val="center"/>
              <w:rPr>
                <w:rFonts w:ascii="仿宋_GB2312" w:hAnsi="仿宋" w:eastAsia="仿宋_GB2312"/>
                <w:sz w:val="24"/>
              </w:rPr>
            </w:pPr>
            <w:r>
              <w:rPr>
                <w:rFonts w:hint="eastAsia" w:ascii="仿宋_GB2312" w:hAnsi="仿宋" w:eastAsia="仿宋_GB2312"/>
                <w:sz w:val="24"/>
              </w:rPr>
              <w:t>雷电灾害风险评估</w:t>
            </w:r>
          </w:p>
        </w:tc>
        <w:tc>
          <w:tcPr>
            <w:tcW w:w="1920" w:type="dxa"/>
            <w:noWrap w:val="0"/>
            <w:vAlign w:val="center"/>
          </w:tcPr>
          <w:p>
            <w:pPr>
              <w:pStyle w:val="10"/>
              <w:spacing w:line="340" w:lineRule="exact"/>
              <w:ind w:firstLine="120" w:firstLineChars="50"/>
              <w:jc w:val="center"/>
              <w:rPr>
                <w:rFonts w:ascii="仿宋_GB2312" w:hAnsi="仿宋" w:eastAsia="仿宋_GB2312"/>
                <w:sz w:val="24"/>
              </w:rPr>
            </w:pPr>
            <w:r>
              <w:rPr>
                <w:rFonts w:hint="eastAsia" w:ascii="仿宋_GB2312" w:hAnsi="仿宋" w:eastAsia="仿宋_GB2312"/>
                <w:sz w:val="24"/>
              </w:rPr>
              <w:t>区域规划</w:t>
            </w:r>
          </w:p>
        </w:tc>
        <w:tc>
          <w:tcPr>
            <w:tcW w:w="5766" w:type="dxa"/>
            <w:gridSpan w:val="2"/>
            <w:noWrap w:val="0"/>
            <w:vAlign w:val="center"/>
          </w:tcPr>
          <w:p>
            <w:pPr>
              <w:pStyle w:val="10"/>
              <w:spacing w:line="340" w:lineRule="exact"/>
              <w:ind w:firstLine="120" w:firstLineChars="50"/>
              <w:rPr>
                <w:rFonts w:ascii="仿宋_GB2312" w:hAnsi="仿宋" w:eastAsia="仿宋_GB2312"/>
                <w:sz w:val="24"/>
              </w:rPr>
            </w:pPr>
            <w:r>
              <w:rPr>
                <w:rFonts w:hint="eastAsia" w:ascii="仿宋_GB2312" w:hAnsi="仿宋" w:eastAsia="仿宋_GB2312"/>
                <w:color w:val="000000"/>
                <w:sz w:val="24"/>
              </w:rPr>
              <w:t>城乡建设、经济开发区（工业园区）、行业发展规划、地市以上立项旅游景区、省级自然保护区规划、区域农（牧）业结构调整。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1422" w:type="dxa"/>
            <w:vMerge w:val="continue"/>
            <w:noWrap w:val="0"/>
            <w:vAlign w:val="center"/>
          </w:tcPr>
          <w:p>
            <w:pPr>
              <w:pStyle w:val="10"/>
              <w:spacing w:line="340" w:lineRule="exact"/>
              <w:ind w:firstLine="120" w:firstLineChars="50"/>
              <w:jc w:val="center"/>
              <w:rPr>
                <w:rFonts w:ascii="仿宋_GB2312" w:hAnsi="仿宋" w:eastAsia="仿宋_GB2312"/>
                <w:color w:val="000000"/>
                <w:sz w:val="24"/>
              </w:rPr>
            </w:pPr>
          </w:p>
        </w:tc>
        <w:tc>
          <w:tcPr>
            <w:tcW w:w="1920" w:type="dxa"/>
            <w:vMerge w:val="restart"/>
            <w:noWrap w:val="0"/>
            <w:vAlign w:val="center"/>
          </w:tcPr>
          <w:p>
            <w:pPr>
              <w:pStyle w:val="10"/>
              <w:spacing w:line="340" w:lineRule="exact"/>
              <w:ind w:firstLine="120" w:firstLineChars="50"/>
              <w:jc w:val="center"/>
              <w:rPr>
                <w:rFonts w:ascii="仿宋_GB2312" w:hAnsi="仿宋" w:eastAsia="仿宋_GB2312"/>
                <w:color w:val="000000"/>
                <w:sz w:val="24"/>
              </w:rPr>
            </w:pPr>
            <w:r>
              <w:rPr>
                <w:rFonts w:hint="eastAsia" w:ascii="仿宋_GB2312" w:hAnsi="仿宋" w:eastAsia="仿宋_GB2312"/>
                <w:color w:val="000000"/>
                <w:sz w:val="24"/>
              </w:rPr>
              <w:t>重大基础设施</w:t>
            </w:r>
          </w:p>
        </w:tc>
        <w:tc>
          <w:tcPr>
            <w:tcW w:w="1743" w:type="dxa"/>
            <w:noWrap w:val="0"/>
            <w:vAlign w:val="center"/>
          </w:tcPr>
          <w:p>
            <w:pPr>
              <w:pStyle w:val="10"/>
              <w:spacing w:line="340" w:lineRule="exact"/>
              <w:ind w:firstLine="120" w:firstLineChars="50"/>
              <w:jc w:val="center"/>
              <w:rPr>
                <w:rFonts w:ascii="仿宋_GB2312" w:hAnsi="仿宋" w:eastAsia="仿宋_GB2312"/>
                <w:color w:val="000000"/>
                <w:sz w:val="24"/>
              </w:rPr>
            </w:pPr>
            <w:r>
              <w:rPr>
                <w:rFonts w:hint="eastAsia" w:ascii="仿宋_GB2312" w:hAnsi="仿宋" w:eastAsia="仿宋_GB2312"/>
                <w:color w:val="000000"/>
                <w:sz w:val="24"/>
              </w:rPr>
              <w:t>公路、城市道路、轨道交通、索道工程</w:t>
            </w:r>
          </w:p>
        </w:tc>
        <w:tc>
          <w:tcPr>
            <w:tcW w:w="4023" w:type="dxa"/>
            <w:noWrap w:val="0"/>
            <w:vAlign w:val="top"/>
          </w:tcPr>
          <w:p>
            <w:pPr>
              <w:spacing w:line="340" w:lineRule="exact"/>
              <w:ind w:firstLine="120" w:firstLineChars="50"/>
              <w:rPr>
                <w:rFonts w:ascii="仿宋_GB2312" w:hAnsi="仿宋" w:eastAsia="仿宋_GB2312"/>
                <w:color w:val="000000"/>
                <w:sz w:val="24"/>
              </w:rPr>
            </w:pPr>
            <w:r>
              <w:rPr>
                <w:rFonts w:hint="eastAsia" w:ascii="仿宋_GB2312" w:hAnsi="仿宋" w:eastAsia="仿宋_GB2312"/>
                <w:color w:val="000000"/>
                <w:sz w:val="24"/>
              </w:rPr>
              <w:t>1、高速公路工程：</w:t>
            </w:r>
          </w:p>
          <w:p>
            <w:pPr>
              <w:spacing w:line="340" w:lineRule="exact"/>
              <w:ind w:firstLine="120" w:firstLineChars="50"/>
              <w:rPr>
                <w:rFonts w:ascii="仿宋_GB2312" w:hAnsi="仿宋" w:eastAsia="仿宋_GB2312"/>
                <w:color w:val="000000"/>
                <w:sz w:val="24"/>
              </w:rPr>
            </w:pPr>
            <w:r>
              <w:rPr>
                <w:rFonts w:hint="eastAsia" w:ascii="仿宋_GB2312" w:hAnsi="仿宋" w:eastAsia="仿宋_GB2312"/>
                <w:color w:val="000000"/>
                <w:sz w:val="24"/>
              </w:rPr>
              <w:t>2、城市地铁、轻轨：</w:t>
            </w:r>
          </w:p>
          <w:p>
            <w:pPr>
              <w:spacing w:line="340" w:lineRule="exact"/>
              <w:ind w:firstLine="120" w:firstLineChars="50"/>
              <w:rPr>
                <w:rFonts w:ascii="仿宋_GB2312" w:hAnsi="仿宋" w:eastAsia="仿宋_GB2312"/>
                <w:color w:val="000000"/>
                <w:sz w:val="24"/>
              </w:rPr>
            </w:pPr>
            <w:r>
              <w:rPr>
                <w:rFonts w:hint="eastAsia" w:ascii="仿宋_GB2312" w:hAnsi="仿宋" w:eastAsia="仿宋_GB2312"/>
                <w:color w:val="000000"/>
                <w:sz w:val="24"/>
              </w:rPr>
              <w:t>3、客(货)运索道工程。</w:t>
            </w:r>
          </w:p>
          <w:p>
            <w:pPr>
              <w:spacing w:line="340" w:lineRule="exact"/>
              <w:rPr>
                <w:rFonts w:ascii="仿宋_GB2312" w:hAnsi="仿宋" w:eastAsia="仿宋_GB2312"/>
                <w:color w:val="000000"/>
                <w:sz w:val="24"/>
              </w:rPr>
            </w:pPr>
            <w:r>
              <w:rPr>
                <w:rFonts w:hint="eastAsia" w:ascii="仿宋_GB2312" w:hAnsi="仿宋" w:eastAsia="仿宋_GB2312"/>
                <w:color w:val="000000"/>
                <w:sz w:val="24"/>
              </w:rPr>
              <w:t xml:space="preserve">（公路、城市道路、轨道交通、索道工程复杂程度表 表6.2-2中 </w:t>
            </w:r>
            <w:r>
              <w:rPr>
                <w:rFonts w:ascii="仿宋" w:hAnsi="仿宋" w:eastAsia="仿宋"/>
                <w:color w:val="000000"/>
                <w:sz w:val="24"/>
              </w:rPr>
              <w:t>Ⅲ</w:t>
            </w:r>
            <w:r>
              <w:rPr>
                <w:rFonts w:hint="eastAsia" w:ascii="仿宋_GB2312" w:hAnsi="仿宋" w:eastAsia="仿宋_GB2312"/>
                <w:color w:val="000000"/>
                <w:sz w:val="24"/>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422" w:type="dxa"/>
            <w:vMerge w:val="continue"/>
            <w:noWrap w:val="0"/>
            <w:vAlign w:val="center"/>
          </w:tcPr>
          <w:p>
            <w:pPr>
              <w:pStyle w:val="10"/>
              <w:spacing w:line="340" w:lineRule="exact"/>
              <w:ind w:firstLine="120" w:firstLineChars="50"/>
              <w:jc w:val="center"/>
              <w:rPr>
                <w:rFonts w:ascii="仿宋_GB2312" w:hAnsi="仿宋" w:eastAsia="仿宋_GB2312"/>
                <w:color w:val="000000"/>
                <w:sz w:val="24"/>
              </w:rPr>
            </w:pPr>
          </w:p>
        </w:tc>
        <w:tc>
          <w:tcPr>
            <w:tcW w:w="1920" w:type="dxa"/>
            <w:vMerge w:val="continue"/>
            <w:noWrap w:val="0"/>
            <w:vAlign w:val="center"/>
          </w:tcPr>
          <w:p>
            <w:pPr>
              <w:pStyle w:val="10"/>
              <w:spacing w:line="340" w:lineRule="exact"/>
              <w:ind w:firstLine="120" w:firstLineChars="50"/>
              <w:jc w:val="center"/>
              <w:rPr>
                <w:rFonts w:ascii="仿宋_GB2312" w:hAnsi="仿宋" w:eastAsia="仿宋_GB2312"/>
                <w:color w:val="000000"/>
                <w:sz w:val="24"/>
              </w:rPr>
            </w:pPr>
          </w:p>
        </w:tc>
        <w:tc>
          <w:tcPr>
            <w:tcW w:w="1743" w:type="dxa"/>
            <w:noWrap w:val="0"/>
            <w:vAlign w:val="center"/>
          </w:tcPr>
          <w:p>
            <w:pPr>
              <w:pStyle w:val="10"/>
              <w:spacing w:line="340" w:lineRule="exact"/>
              <w:ind w:firstLine="120" w:firstLineChars="50"/>
              <w:jc w:val="center"/>
              <w:rPr>
                <w:rFonts w:ascii="仿宋_GB2312" w:hAnsi="仿宋" w:eastAsia="仿宋_GB2312"/>
                <w:color w:val="000000"/>
                <w:sz w:val="24"/>
              </w:rPr>
            </w:pPr>
            <w:r>
              <w:rPr>
                <w:rFonts w:hint="eastAsia" w:ascii="仿宋_GB2312" w:hAnsi="仿宋" w:eastAsia="仿宋_GB2312"/>
                <w:color w:val="000000"/>
                <w:sz w:val="24"/>
              </w:rPr>
              <w:t>铁路工程</w:t>
            </w:r>
          </w:p>
        </w:tc>
        <w:tc>
          <w:tcPr>
            <w:tcW w:w="4023" w:type="dxa"/>
            <w:noWrap w:val="0"/>
            <w:vAlign w:val="top"/>
          </w:tcPr>
          <w:p>
            <w:pPr>
              <w:spacing w:line="340" w:lineRule="exact"/>
              <w:ind w:left="160" w:leftChars="50" w:firstLine="120" w:firstLineChars="50"/>
              <w:rPr>
                <w:rFonts w:ascii="仿宋_GB2312" w:hAnsi="仿宋" w:eastAsia="仿宋_GB2312"/>
                <w:color w:val="000000"/>
                <w:sz w:val="24"/>
              </w:rPr>
            </w:pPr>
            <w:r>
              <w:rPr>
                <w:rFonts w:hint="eastAsia" w:ascii="仿宋_GB2312" w:hAnsi="仿宋" w:eastAsia="仿宋_GB2312"/>
                <w:color w:val="000000"/>
                <w:sz w:val="24"/>
              </w:rPr>
              <w:t>1、时速200KM客货共线；</w:t>
            </w:r>
          </w:p>
          <w:p>
            <w:pPr>
              <w:spacing w:line="340" w:lineRule="exact"/>
              <w:ind w:left="160" w:leftChars="50" w:firstLine="120" w:firstLineChars="50"/>
              <w:rPr>
                <w:rFonts w:ascii="仿宋_GB2312" w:hAnsi="仿宋" w:eastAsia="仿宋_GB2312"/>
                <w:color w:val="000000"/>
                <w:sz w:val="24"/>
              </w:rPr>
            </w:pPr>
            <w:r>
              <w:rPr>
                <w:rFonts w:hint="eastAsia" w:ascii="仿宋_GB2312" w:hAnsi="仿宋" w:eastAsia="仿宋_GB2312"/>
                <w:color w:val="000000"/>
                <w:sz w:val="24"/>
              </w:rPr>
              <w:t>2、Ⅰ级铁路；</w:t>
            </w:r>
          </w:p>
          <w:p>
            <w:pPr>
              <w:spacing w:line="340" w:lineRule="exact"/>
              <w:ind w:left="160" w:leftChars="50" w:firstLine="120" w:firstLineChars="50"/>
              <w:rPr>
                <w:rFonts w:ascii="仿宋_GB2312" w:hAnsi="仿宋" w:eastAsia="仿宋_GB2312"/>
                <w:color w:val="000000"/>
                <w:sz w:val="24"/>
              </w:rPr>
            </w:pPr>
            <w:r>
              <w:rPr>
                <w:rFonts w:hint="eastAsia" w:ascii="仿宋_GB2312" w:hAnsi="仿宋" w:eastAsia="仿宋_GB2312"/>
                <w:color w:val="000000"/>
                <w:sz w:val="24"/>
              </w:rPr>
              <w:t>3、货运专线；</w:t>
            </w:r>
          </w:p>
          <w:p>
            <w:pPr>
              <w:spacing w:line="340" w:lineRule="exact"/>
              <w:ind w:left="160" w:leftChars="50" w:firstLine="120" w:firstLineChars="50"/>
              <w:rPr>
                <w:rFonts w:ascii="仿宋_GB2312" w:hAnsi="仿宋" w:eastAsia="仿宋_GB2312"/>
                <w:color w:val="000000"/>
                <w:sz w:val="24"/>
              </w:rPr>
            </w:pPr>
            <w:r>
              <w:rPr>
                <w:rFonts w:hint="eastAsia" w:ascii="仿宋_GB2312" w:hAnsi="仿宋" w:eastAsia="仿宋_GB2312"/>
                <w:color w:val="000000"/>
                <w:sz w:val="24"/>
              </w:rPr>
              <w:t>4、独立特大桥；</w:t>
            </w:r>
          </w:p>
          <w:p>
            <w:pPr>
              <w:spacing w:line="340" w:lineRule="exact"/>
              <w:ind w:left="160" w:leftChars="50" w:firstLine="120" w:firstLineChars="50"/>
              <w:rPr>
                <w:rFonts w:ascii="仿宋_GB2312" w:hAnsi="仿宋" w:eastAsia="仿宋_GB2312"/>
                <w:color w:val="000000"/>
                <w:sz w:val="24"/>
              </w:rPr>
            </w:pPr>
            <w:r>
              <w:rPr>
                <w:rFonts w:hint="eastAsia" w:ascii="仿宋_GB2312" w:hAnsi="仿宋" w:eastAsia="仿宋_GB2312"/>
                <w:color w:val="000000"/>
                <w:sz w:val="24"/>
              </w:rPr>
              <w:t>5、独立隧道。</w:t>
            </w:r>
          </w:p>
          <w:p>
            <w:pPr>
              <w:spacing w:line="340" w:lineRule="exact"/>
              <w:ind w:left="160" w:leftChars="50" w:firstLine="120" w:firstLineChars="50"/>
              <w:rPr>
                <w:rFonts w:ascii="仿宋_GB2312" w:hAnsi="仿宋" w:eastAsia="仿宋_GB2312"/>
                <w:color w:val="000000"/>
                <w:sz w:val="24"/>
              </w:rPr>
            </w:pPr>
            <w:r>
              <w:rPr>
                <w:rFonts w:hint="eastAsia" w:ascii="仿宋_GB2312" w:hAnsi="仿宋" w:eastAsia="仿宋_GB2312"/>
                <w:color w:val="000000"/>
                <w:sz w:val="24"/>
              </w:rPr>
              <w:t>（铁路工程复杂程度表 表6.2-1</w:t>
            </w:r>
            <w:r>
              <w:rPr>
                <w:rFonts w:ascii="仿宋" w:hAnsi="仿宋" w:eastAsia="仿宋"/>
                <w:color w:val="000000"/>
                <w:sz w:val="24"/>
              </w:rPr>
              <w:t>Ⅲ</w:t>
            </w:r>
            <w:r>
              <w:rPr>
                <w:rFonts w:hint="eastAsia" w:ascii="仿宋_GB2312" w:hAnsi="仿宋" w:eastAsia="仿宋_GB2312"/>
                <w:color w:val="000000"/>
                <w:sz w:val="24"/>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422" w:type="dxa"/>
            <w:vMerge w:val="continue"/>
            <w:noWrap w:val="0"/>
            <w:vAlign w:val="center"/>
          </w:tcPr>
          <w:p>
            <w:pPr>
              <w:pStyle w:val="10"/>
              <w:spacing w:line="340" w:lineRule="exact"/>
              <w:ind w:firstLine="120" w:firstLineChars="50"/>
              <w:jc w:val="center"/>
              <w:rPr>
                <w:rFonts w:ascii="仿宋_GB2312" w:hAnsi="仿宋" w:eastAsia="仿宋_GB2312"/>
                <w:color w:val="000000"/>
                <w:sz w:val="24"/>
              </w:rPr>
            </w:pPr>
          </w:p>
        </w:tc>
        <w:tc>
          <w:tcPr>
            <w:tcW w:w="1920" w:type="dxa"/>
            <w:vMerge w:val="continue"/>
            <w:noWrap w:val="0"/>
            <w:vAlign w:val="center"/>
          </w:tcPr>
          <w:p>
            <w:pPr>
              <w:pStyle w:val="10"/>
              <w:spacing w:line="340" w:lineRule="exact"/>
              <w:ind w:firstLine="120" w:firstLineChars="50"/>
              <w:jc w:val="center"/>
              <w:rPr>
                <w:rFonts w:ascii="仿宋_GB2312" w:hAnsi="仿宋" w:eastAsia="仿宋_GB2312"/>
                <w:color w:val="000000"/>
                <w:sz w:val="24"/>
              </w:rPr>
            </w:pPr>
          </w:p>
        </w:tc>
        <w:tc>
          <w:tcPr>
            <w:tcW w:w="1743" w:type="dxa"/>
            <w:noWrap w:val="0"/>
            <w:vAlign w:val="center"/>
          </w:tcPr>
          <w:p>
            <w:pPr>
              <w:pStyle w:val="10"/>
              <w:spacing w:line="340" w:lineRule="exact"/>
              <w:ind w:firstLine="120" w:firstLineChars="50"/>
              <w:jc w:val="center"/>
              <w:rPr>
                <w:rFonts w:ascii="仿宋_GB2312" w:hAnsi="仿宋" w:eastAsia="仿宋_GB2312"/>
                <w:color w:val="000000"/>
                <w:sz w:val="24"/>
              </w:rPr>
            </w:pPr>
            <w:r>
              <w:rPr>
                <w:rFonts w:hint="eastAsia" w:ascii="仿宋_GB2312" w:hAnsi="仿宋" w:eastAsia="仿宋_GB2312"/>
                <w:color w:val="000000"/>
                <w:sz w:val="24"/>
              </w:rPr>
              <w:t>公路桥梁、城市桥梁和隧道工程</w:t>
            </w:r>
          </w:p>
        </w:tc>
        <w:tc>
          <w:tcPr>
            <w:tcW w:w="4023" w:type="dxa"/>
            <w:noWrap w:val="0"/>
            <w:vAlign w:val="top"/>
          </w:tcPr>
          <w:p>
            <w:pPr>
              <w:spacing w:line="340" w:lineRule="exact"/>
              <w:ind w:left="160" w:leftChars="50" w:firstLine="120" w:firstLineChars="50"/>
              <w:rPr>
                <w:rFonts w:ascii="仿宋_GB2312" w:hAnsi="仿宋" w:eastAsia="仿宋_GB2312"/>
                <w:color w:val="000000"/>
                <w:sz w:val="24"/>
              </w:rPr>
            </w:pPr>
            <w:r>
              <w:rPr>
                <w:rFonts w:hint="eastAsia" w:ascii="仿宋_GB2312" w:hAnsi="仿宋" w:eastAsia="仿宋_GB2312"/>
                <w:color w:val="000000"/>
                <w:sz w:val="24"/>
              </w:rPr>
              <w:t>1、主跨≥250m拱桥，单跨≥250m预应力混凝土连续结构，≥400m斜拉桥，≥800m悬索桥；</w:t>
            </w:r>
          </w:p>
          <w:p>
            <w:pPr>
              <w:spacing w:line="340" w:lineRule="exact"/>
              <w:ind w:left="160" w:leftChars="50" w:firstLine="120" w:firstLineChars="50"/>
              <w:rPr>
                <w:rFonts w:ascii="仿宋_GB2312" w:hAnsi="仿宋" w:eastAsia="仿宋_GB2312"/>
                <w:color w:val="000000"/>
                <w:sz w:val="24"/>
              </w:rPr>
            </w:pPr>
            <w:r>
              <w:rPr>
                <w:rFonts w:hint="eastAsia" w:ascii="仿宋_GB2312" w:hAnsi="仿宋" w:eastAsia="仿宋_GB2312"/>
                <w:color w:val="000000"/>
                <w:sz w:val="24"/>
              </w:rPr>
              <w:t>2、连拱隧道、水底隧道、长度≥3000 m的隧道工程：</w:t>
            </w:r>
          </w:p>
          <w:p>
            <w:pPr>
              <w:spacing w:line="340" w:lineRule="exact"/>
              <w:ind w:left="160" w:leftChars="50" w:firstLine="120" w:firstLineChars="50"/>
              <w:rPr>
                <w:rFonts w:ascii="仿宋_GB2312" w:hAnsi="仿宋" w:eastAsia="仿宋_GB2312"/>
                <w:color w:val="000000"/>
                <w:sz w:val="24"/>
              </w:rPr>
            </w:pPr>
            <w:r>
              <w:rPr>
                <w:rFonts w:hint="eastAsia" w:ascii="仿宋_GB2312" w:hAnsi="仿宋" w:eastAsia="仿宋_GB2312"/>
                <w:color w:val="000000"/>
                <w:sz w:val="24"/>
              </w:rPr>
              <w:t>3、城市互通式立交桥。</w:t>
            </w:r>
          </w:p>
          <w:p>
            <w:pPr>
              <w:spacing w:line="340" w:lineRule="exact"/>
              <w:ind w:left="160" w:leftChars="50" w:firstLine="120" w:firstLineChars="50"/>
              <w:rPr>
                <w:rFonts w:ascii="仿宋_GB2312" w:hAnsi="仿宋" w:eastAsia="仿宋_GB2312"/>
                <w:color w:val="000000"/>
                <w:sz w:val="24"/>
              </w:rPr>
            </w:pPr>
            <w:r>
              <w:rPr>
                <w:rFonts w:hint="eastAsia" w:ascii="仿宋_GB2312" w:hAnsi="仿宋" w:eastAsia="仿宋_GB2312"/>
                <w:color w:val="000000"/>
                <w:sz w:val="24"/>
              </w:rPr>
              <w:t>（公路桥梁、城市桥梁和隧道工程复杂程度表 表6.2-3</w:t>
            </w:r>
            <w:r>
              <w:rPr>
                <w:rFonts w:ascii="仿宋_GB2312" w:hAnsi="仿宋" w:eastAsia="仿宋_GB2312"/>
                <w:color w:val="000000"/>
                <w:sz w:val="24"/>
              </w:rPr>
              <w:t xml:space="preserve"> </w:t>
            </w:r>
            <w:r>
              <w:rPr>
                <w:rFonts w:hint="eastAsia" w:ascii="仿宋_GB2312" w:hAnsi="仿宋" w:eastAsia="仿宋_GB2312"/>
                <w:color w:val="000000"/>
                <w:sz w:val="24"/>
              </w:rPr>
              <w:t>中</w:t>
            </w:r>
            <w:r>
              <w:rPr>
                <w:rFonts w:ascii="仿宋" w:hAnsi="仿宋" w:eastAsia="仿宋"/>
                <w:color w:val="000000"/>
                <w:sz w:val="24"/>
              </w:rPr>
              <w:t>Ⅲ</w:t>
            </w:r>
            <w:r>
              <w:rPr>
                <w:rFonts w:hint="eastAsia" w:ascii="仿宋_GB2312" w:hAnsi="仿宋" w:eastAsia="仿宋_GB2312"/>
                <w:color w:val="000000"/>
                <w:sz w:val="24"/>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422" w:type="dxa"/>
            <w:vMerge w:val="continue"/>
            <w:noWrap w:val="0"/>
            <w:vAlign w:val="center"/>
          </w:tcPr>
          <w:p>
            <w:pPr>
              <w:pStyle w:val="10"/>
              <w:spacing w:line="340" w:lineRule="exact"/>
              <w:ind w:firstLine="120" w:firstLineChars="50"/>
              <w:jc w:val="center"/>
              <w:rPr>
                <w:rFonts w:ascii="仿宋_GB2312" w:hAnsi="仿宋" w:eastAsia="仿宋_GB2312"/>
                <w:color w:val="000000"/>
                <w:sz w:val="24"/>
              </w:rPr>
            </w:pPr>
          </w:p>
        </w:tc>
        <w:tc>
          <w:tcPr>
            <w:tcW w:w="1920" w:type="dxa"/>
            <w:vMerge w:val="continue"/>
            <w:noWrap w:val="0"/>
            <w:vAlign w:val="center"/>
          </w:tcPr>
          <w:p>
            <w:pPr>
              <w:pStyle w:val="10"/>
              <w:spacing w:line="340" w:lineRule="exact"/>
              <w:ind w:firstLine="120" w:firstLineChars="50"/>
              <w:jc w:val="center"/>
              <w:rPr>
                <w:rFonts w:ascii="仿宋_GB2312" w:hAnsi="仿宋" w:eastAsia="仿宋_GB2312"/>
                <w:color w:val="000000"/>
                <w:sz w:val="24"/>
              </w:rPr>
            </w:pPr>
          </w:p>
        </w:tc>
        <w:tc>
          <w:tcPr>
            <w:tcW w:w="1743" w:type="dxa"/>
            <w:noWrap w:val="0"/>
            <w:vAlign w:val="center"/>
          </w:tcPr>
          <w:p>
            <w:pPr>
              <w:pStyle w:val="10"/>
              <w:spacing w:line="340" w:lineRule="exact"/>
              <w:ind w:firstLine="120" w:firstLineChars="50"/>
              <w:jc w:val="center"/>
              <w:rPr>
                <w:rFonts w:ascii="仿宋_GB2312" w:hAnsi="仿宋" w:eastAsia="仿宋_GB2312"/>
                <w:color w:val="000000"/>
                <w:sz w:val="24"/>
              </w:rPr>
            </w:pPr>
            <w:r>
              <w:rPr>
                <w:rFonts w:hint="eastAsia" w:ascii="仿宋_GB2312" w:hAnsi="仿宋" w:eastAsia="仿宋_GB2312"/>
                <w:color w:val="000000"/>
                <w:sz w:val="24"/>
              </w:rPr>
              <w:t>民航机场工程</w:t>
            </w:r>
          </w:p>
        </w:tc>
        <w:tc>
          <w:tcPr>
            <w:tcW w:w="4023" w:type="dxa"/>
            <w:noWrap w:val="0"/>
            <w:vAlign w:val="top"/>
          </w:tcPr>
          <w:p>
            <w:pPr>
              <w:spacing w:line="340" w:lineRule="exact"/>
              <w:ind w:firstLine="120" w:firstLineChars="50"/>
              <w:rPr>
                <w:rFonts w:ascii="仿宋_GB2312" w:hAnsi="仿宋" w:eastAsia="仿宋_GB2312"/>
                <w:color w:val="000000"/>
                <w:sz w:val="24"/>
              </w:rPr>
            </w:pPr>
            <w:r>
              <w:rPr>
                <w:rFonts w:hint="eastAsia" w:ascii="仿宋_GB2312" w:hAnsi="仿宋" w:eastAsia="仿宋_GB2312"/>
                <w:color w:val="000000"/>
                <w:sz w:val="24"/>
              </w:rPr>
              <w:t>4E及以上场道、空中交通管制及助航灯光工程(大型综合工程含配套措施)（民用机场工程复杂程度表 表6.2-5</w:t>
            </w:r>
            <w:r>
              <w:rPr>
                <w:rFonts w:ascii="仿宋_GB2312" w:hAnsi="仿宋" w:eastAsia="仿宋_GB2312"/>
                <w:color w:val="000000"/>
                <w:sz w:val="24"/>
              </w:rPr>
              <w:t xml:space="preserve"> </w:t>
            </w:r>
            <w:r>
              <w:rPr>
                <w:rFonts w:hint="eastAsia" w:ascii="仿宋_GB2312" w:hAnsi="仿宋" w:eastAsia="仿宋_GB2312"/>
                <w:color w:val="000000"/>
                <w:sz w:val="24"/>
              </w:rPr>
              <w:t>中</w:t>
            </w:r>
            <w:r>
              <w:rPr>
                <w:rFonts w:ascii="仿宋" w:hAnsi="仿宋" w:eastAsia="仿宋"/>
                <w:color w:val="000000"/>
                <w:sz w:val="24"/>
              </w:rPr>
              <w:t>Ⅲ</w:t>
            </w:r>
            <w:r>
              <w:rPr>
                <w:rFonts w:hint="eastAsia" w:ascii="仿宋_GB2312" w:hAnsi="仿宋" w:eastAsia="仿宋_GB2312"/>
                <w:color w:val="000000"/>
                <w:sz w:val="24"/>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422" w:type="dxa"/>
            <w:vMerge w:val="continue"/>
            <w:noWrap w:val="0"/>
            <w:vAlign w:val="center"/>
          </w:tcPr>
          <w:p>
            <w:pPr>
              <w:pStyle w:val="10"/>
              <w:spacing w:line="340" w:lineRule="exact"/>
              <w:ind w:firstLine="120" w:firstLineChars="50"/>
              <w:jc w:val="center"/>
              <w:rPr>
                <w:rFonts w:ascii="仿宋_GB2312" w:hAnsi="仿宋" w:eastAsia="仿宋_GB2312"/>
                <w:color w:val="000000"/>
                <w:sz w:val="24"/>
              </w:rPr>
            </w:pPr>
          </w:p>
        </w:tc>
        <w:tc>
          <w:tcPr>
            <w:tcW w:w="1920" w:type="dxa"/>
            <w:vMerge w:val="continue"/>
            <w:noWrap w:val="0"/>
            <w:vAlign w:val="center"/>
          </w:tcPr>
          <w:p>
            <w:pPr>
              <w:pStyle w:val="10"/>
              <w:spacing w:line="340" w:lineRule="exact"/>
              <w:ind w:firstLine="120" w:firstLineChars="50"/>
              <w:jc w:val="center"/>
              <w:rPr>
                <w:rFonts w:ascii="仿宋_GB2312" w:hAnsi="仿宋" w:eastAsia="仿宋_GB2312"/>
                <w:color w:val="000000"/>
                <w:sz w:val="24"/>
              </w:rPr>
            </w:pPr>
          </w:p>
        </w:tc>
        <w:tc>
          <w:tcPr>
            <w:tcW w:w="1743" w:type="dxa"/>
            <w:noWrap w:val="0"/>
            <w:vAlign w:val="center"/>
          </w:tcPr>
          <w:p>
            <w:pPr>
              <w:pStyle w:val="10"/>
              <w:spacing w:line="340" w:lineRule="exact"/>
              <w:ind w:firstLine="120" w:firstLineChars="50"/>
              <w:jc w:val="center"/>
              <w:rPr>
                <w:rFonts w:ascii="仿宋_GB2312" w:hAnsi="仿宋" w:eastAsia="仿宋_GB2312"/>
                <w:color w:val="000000"/>
                <w:sz w:val="24"/>
              </w:rPr>
            </w:pPr>
            <w:r>
              <w:rPr>
                <w:rFonts w:hint="eastAsia" w:ascii="仿宋_GB2312" w:hAnsi="仿宋" w:eastAsia="仿宋_GB2312"/>
                <w:color w:val="000000"/>
                <w:sz w:val="24"/>
              </w:rPr>
              <w:t>水运工程</w:t>
            </w:r>
          </w:p>
        </w:tc>
        <w:tc>
          <w:tcPr>
            <w:tcW w:w="4023" w:type="dxa"/>
            <w:noWrap w:val="0"/>
            <w:vAlign w:val="top"/>
          </w:tcPr>
          <w:p>
            <w:pPr>
              <w:spacing w:line="340" w:lineRule="exact"/>
              <w:ind w:firstLine="120" w:firstLineChars="50"/>
              <w:rPr>
                <w:rFonts w:ascii="仿宋_GB2312" w:hAnsi="仿宋" w:eastAsia="仿宋_GB2312"/>
                <w:color w:val="000000"/>
                <w:sz w:val="24"/>
              </w:rPr>
            </w:pPr>
            <w:r>
              <w:rPr>
                <w:rFonts w:hint="eastAsia" w:ascii="仿宋_GB2312" w:hAnsi="仿宋" w:eastAsia="仿宋_GB2312"/>
                <w:color w:val="000000"/>
                <w:sz w:val="24"/>
              </w:rPr>
              <w:t>1、沿海港口、航道工程：码头≥10000t级，航道≥30000 t级；</w:t>
            </w:r>
          </w:p>
          <w:p>
            <w:pPr>
              <w:spacing w:line="340" w:lineRule="exact"/>
              <w:ind w:firstLine="120" w:firstLineChars="50"/>
              <w:rPr>
                <w:rFonts w:ascii="仿宋_GB2312" w:hAnsi="仿宋" w:eastAsia="仿宋_GB2312"/>
                <w:color w:val="000000"/>
                <w:sz w:val="24"/>
              </w:rPr>
            </w:pPr>
            <w:r>
              <w:rPr>
                <w:rFonts w:hint="eastAsia" w:ascii="仿宋_GB2312" w:hAnsi="仿宋" w:eastAsia="仿宋_GB2312"/>
                <w:color w:val="000000"/>
                <w:sz w:val="24"/>
              </w:rPr>
              <w:t>2、油、气等危险品码头工程≥1000t级；</w:t>
            </w:r>
          </w:p>
          <w:p>
            <w:pPr>
              <w:spacing w:line="340" w:lineRule="exact"/>
              <w:ind w:firstLine="120" w:firstLineChars="50"/>
              <w:rPr>
                <w:rFonts w:ascii="仿宋_GB2312" w:hAnsi="仿宋" w:eastAsia="仿宋_GB2312"/>
                <w:color w:val="000000"/>
                <w:sz w:val="24"/>
              </w:rPr>
            </w:pPr>
            <w:r>
              <w:rPr>
                <w:rFonts w:hint="eastAsia" w:ascii="仿宋_GB2312" w:hAnsi="仿宋" w:eastAsia="仿宋_GB2312"/>
                <w:color w:val="000000"/>
                <w:sz w:val="24"/>
              </w:rPr>
              <w:t>3、内河港口、航道整治、通航建筑工程：码头、航道整治≥1000t级，船闸≥500t级，升船机≥300t级；</w:t>
            </w:r>
          </w:p>
          <w:p>
            <w:pPr>
              <w:spacing w:line="340" w:lineRule="exact"/>
              <w:ind w:firstLine="120" w:firstLineChars="50"/>
              <w:rPr>
                <w:rFonts w:ascii="仿宋_GB2312" w:hAnsi="仿宋" w:eastAsia="仿宋_GB2312"/>
                <w:color w:val="000000"/>
                <w:sz w:val="24"/>
              </w:rPr>
            </w:pPr>
            <w:r>
              <w:rPr>
                <w:rFonts w:hint="eastAsia" w:ascii="仿宋_GB2312" w:hAnsi="仿宋" w:eastAsia="仿宋_GB2312"/>
                <w:color w:val="000000"/>
                <w:sz w:val="24"/>
              </w:rPr>
              <w:t>4、航运（电）枢纽工程；</w:t>
            </w:r>
          </w:p>
          <w:p>
            <w:pPr>
              <w:spacing w:line="340" w:lineRule="exact"/>
              <w:ind w:firstLine="120" w:firstLineChars="50"/>
              <w:rPr>
                <w:rFonts w:ascii="仿宋_GB2312" w:hAnsi="仿宋" w:eastAsia="仿宋_GB2312"/>
                <w:color w:val="000000"/>
                <w:sz w:val="24"/>
              </w:rPr>
            </w:pPr>
            <w:r>
              <w:rPr>
                <w:rFonts w:hint="eastAsia" w:ascii="仿宋_GB2312" w:hAnsi="仿宋" w:eastAsia="仿宋_GB2312"/>
                <w:color w:val="000000"/>
                <w:sz w:val="24"/>
              </w:rPr>
              <w:t>5、修造船厂水工工程：船坞、舾装码头≥10000t级，船台、滑道船体重量≥5000t；</w:t>
            </w:r>
          </w:p>
          <w:p>
            <w:pPr>
              <w:spacing w:line="340" w:lineRule="exact"/>
              <w:ind w:firstLine="120" w:firstLineChars="50"/>
              <w:rPr>
                <w:rFonts w:ascii="仿宋_GB2312" w:hAnsi="仿宋" w:eastAsia="仿宋_GB2312"/>
                <w:color w:val="000000"/>
                <w:sz w:val="24"/>
              </w:rPr>
            </w:pPr>
            <w:r>
              <w:rPr>
                <w:rFonts w:hint="eastAsia" w:ascii="仿宋_GB2312" w:hAnsi="仿宋" w:eastAsia="仿宋_GB2312"/>
                <w:color w:val="000000"/>
                <w:sz w:val="24"/>
              </w:rPr>
              <w:t>6、水上交通管制工程</w:t>
            </w:r>
          </w:p>
          <w:p>
            <w:pPr>
              <w:spacing w:line="340" w:lineRule="exact"/>
              <w:ind w:firstLine="120" w:firstLineChars="50"/>
              <w:rPr>
                <w:rFonts w:ascii="仿宋_GB2312" w:hAnsi="仿宋" w:eastAsia="仿宋_GB2312"/>
                <w:color w:val="000000"/>
                <w:sz w:val="24"/>
              </w:rPr>
            </w:pPr>
            <w:r>
              <w:rPr>
                <w:rFonts w:hint="eastAsia" w:ascii="仿宋_GB2312" w:hAnsi="仿宋" w:eastAsia="仿宋_GB2312"/>
                <w:color w:val="000000"/>
                <w:sz w:val="24"/>
              </w:rPr>
              <w:t>（水运工程复杂程度表 表6.2-4</w:t>
            </w:r>
            <w:r>
              <w:rPr>
                <w:rFonts w:ascii="仿宋_GB2312" w:hAnsi="仿宋" w:eastAsia="仿宋_GB2312"/>
                <w:color w:val="000000"/>
                <w:sz w:val="24"/>
              </w:rPr>
              <w:t xml:space="preserve"> </w:t>
            </w:r>
            <w:r>
              <w:rPr>
                <w:rFonts w:hint="eastAsia" w:ascii="仿宋_GB2312" w:hAnsi="仿宋" w:eastAsia="仿宋_GB2312"/>
                <w:color w:val="000000"/>
                <w:sz w:val="24"/>
              </w:rPr>
              <w:t>中</w:t>
            </w:r>
            <w:r>
              <w:rPr>
                <w:rFonts w:ascii="仿宋" w:hAnsi="仿宋" w:eastAsia="仿宋"/>
                <w:color w:val="000000"/>
                <w:sz w:val="24"/>
              </w:rPr>
              <w:t>Ⅲ</w:t>
            </w:r>
            <w:r>
              <w:rPr>
                <w:rFonts w:hint="eastAsia" w:ascii="仿宋_GB2312" w:hAnsi="仿宋" w:eastAsia="仿宋_GB2312"/>
                <w:color w:val="000000"/>
                <w:sz w:val="24"/>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422" w:type="dxa"/>
            <w:vMerge w:val="continue"/>
            <w:noWrap w:val="0"/>
            <w:vAlign w:val="center"/>
          </w:tcPr>
          <w:p>
            <w:pPr>
              <w:pStyle w:val="10"/>
              <w:spacing w:line="340" w:lineRule="exact"/>
              <w:ind w:firstLine="120" w:firstLineChars="50"/>
              <w:jc w:val="center"/>
              <w:rPr>
                <w:rFonts w:ascii="仿宋_GB2312" w:hAnsi="仿宋" w:eastAsia="仿宋_GB2312"/>
                <w:color w:val="000000"/>
                <w:sz w:val="24"/>
              </w:rPr>
            </w:pPr>
          </w:p>
        </w:tc>
        <w:tc>
          <w:tcPr>
            <w:tcW w:w="1920" w:type="dxa"/>
            <w:vMerge w:val="continue"/>
            <w:noWrap w:val="0"/>
            <w:vAlign w:val="center"/>
          </w:tcPr>
          <w:p>
            <w:pPr>
              <w:pStyle w:val="10"/>
              <w:spacing w:line="340" w:lineRule="exact"/>
              <w:ind w:firstLine="120" w:firstLineChars="50"/>
              <w:jc w:val="center"/>
              <w:rPr>
                <w:rFonts w:ascii="仿宋_GB2312" w:hAnsi="仿宋" w:eastAsia="仿宋_GB2312"/>
                <w:color w:val="000000"/>
                <w:sz w:val="24"/>
              </w:rPr>
            </w:pPr>
          </w:p>
        </w:tc>
        <w:tc>
          <w:tcPr>
            <w:tcW w:w="1743" w:type="dxa"/>
            <w:noWrap w:val="0"/>
            <w:vAlign w:val="center"/>
          </w:tcPr>
          <w:p>
            <w:pPr>
              <w:pStyle w:val="10"/>
              <w:spacing w:line="340" w:lineRule="exact"/>
              <w:ind w:firstLine="120" w:firstLineChars="50"/>
              <w:jc w:val="center"/>
              <w:rPr>
                <w:rFonts w:ascii="仿宋_GB2312" w:hAnsi="仿宋" w:eastAsia="仿宋_GB2312"/>
                <w:color w:val="000000"/>
                <w:sz w:val="24"/>
              </w:rPr>
            </w:pPr>
            <w:r>
              <w:rPr>
                <w:rFonts w:hint="eastAsia" w:ascii="仿宋_GB2312" w:hAnsi="仿宋" w:eastAsia="仿宋_GB2312"/>
                <w:color w:val="000000"/>
                <w:sz w:val="24"/>
              </w:rPr>
              <w:t>水利、发电、送电、变电、核能工程</w:t>
            </w:r>
          </w:p>
        </w:tc>
        <w:tc>
          <w:tcPr>
            <w:tcW w:w="4023" w:type="dxa"/>
            <w:noWrap w:val="0"/>
            <w:vAlign w:val="top"/>
          </w:tcPr>
          <w:p>
            <w:pPr>
              <w:widowControl/>
              <w:spacing w:line="340" w:lineRule="exact"/>
              <w:ind w:firstLine="120" w:firstLineChars="50"/>
              <w:rPr>
                <w:rFonts w:ascii="仿宋_GB2312" w:hAnsi="仿宋" w:eastAsia="仿宋_GB2312"/>
                <w:color w:val="000000"/>
                <w:sz w:val="24"/>
              </w:rPr>
            </w:pPr>
            <w:r>
              <w:rPr>
                <w:rFonts w:hint="eastAsia" w:ascii="仿宋_GB2312" w:hAnsi="仿宋" w:eastAsia="仿宋_GB2312"/>
                <w:color w:val="000000"/>
                <w:sz w:val="24"/>
              </w:rPr>
              <w:t>1、单机容量600MW以上凝汽式机组发电工程，新能源发电工程(可再生能源、风电、太阳能发电、潮汐等)；</w:t>
            </w:r>
          </w:p>
          <w:p>
            <w:pPr>
              <w:widowControl/>
              <w:spacing w:line="340" w:lineRule="exact"/>
              <w:ind w:firstLine="120" w:firstLineChars="50"/>
              <w:rPr>
                <w:rFonts w:ascii="仿宋_GB2312" w:hAnsi="仿宋" w:eastAsia="仿宋_GB2312"/>
                <w:color w:val="000000"/>
                <w:sz w:val="24"/>
              </w:rPr>
            </w:pPr>
            <w:r>
              <w:rPr>
                <w:rFonts w:hint="eastAsia" w:ascii="仿宋_GB2312" w:hAnsi="仿宋" w:eastAsia="仿宋_GB2312"/>
                <w:color w:val="000000"/>
                <w:sz w:val="24"/>
              </w:rPr>
              <w:t>2、换流站工程，电压等级≥500KV送电、变电工程；</w:t>
            </w:r>
          </w:p>
          <w:p>
            <w:pPr>
              <w:widowControl/>
              <w:spacing w:line="340" w:lineRule="exact"/>
              <w:ind w:firstLine="120" w:firstLineChars="50"/>
              <w:rPr>
                <w:rFonts w:ascii="仿宋_GB2312" w:hAnsi="仿宋" w:eastAsia="仿宋_GB2312"/>
                <w:color w:val="000000"/>
                <w:sz w:val="24"/>
              </w:rPr>
            </w:pPr>
            <w:r>
              <w:rPr>
                <w:rFonts w:hint="eastAsia" w:ascii="仿宋_GB2312" w:hAnsi="仿宋" w:eastAsia="仿宋_GB2312"/>
                <w:color w:val="000000"/>
                <w:sz w:val="24"/>
              </w:rPr>
              <w:t>3、核能工程；</w:t>
            </w:r>
          </w:p>
          <w:p>
            <w:pPr>
              <w:widowControl/>
              <w:spacing w:line="340" w:lineRule="exact"/>
              <w:ind w:firstLine="120" w:firstLineChars="50"/>
              <w:rPr>
                <w:rFonts w:ascii="仿宋_GB2312" w:hAnsi="仿宋" w:eastAsia="仿宋_GB2312"/>
                <w:color w:val="000000"/>
                <w:sz w:val="24"/>
              </w:rPr>
            </w:pPr>
            <w:r>
              <w:rPr>
                <w:rFonts w:hint="eastAsia" w:ascii="仿宋_GB2312" w:hAnsi="仿宋" w:eastAsia="仿宋_GB2312"/>
                <w:color w:val="000000"/>
                <w:sz w:val="24"/>
              </w:rPr>
              <w:t>4、最大坝高≥ 100 m 或库容≥1亿m</w:t>
            </w:r>
            <w:r>
              <w:rPr>
                <w:rFonts w:hint="eastAsia" w:ascii="仿宋_GB2312" w:hAnsi="仿宋" w:eastAsia="仿宋_GB2312"/>
                <w:color w:val="000000"/>
                <w:sz w:val="24"/>
                <w:vertAlign w:val="superscript"/>
              </w:rPr>
              <w:t>3</w:t>
            </w:r>
            <w:r>
              <w:rPr>
                <w:rFonts w:hint="eastAsia" w:ascii="仿宋_GB2312" w:hAnsi="仿宋" w:eastAsia="仿宋_GB2312"/>
                <w:color w:val="000000"/>
                <w:sz w:val="24"/>
              </w:rPr>
              <w:t>的水库水电工程；</w:t>
            </w:r>
          </w:p>
          <w:p>
            <w:pPr>
              <w:widowControl/>
              <w:spacing w:line="340" w:lineRule="exact"/>
              <w:ind w:firstLine="120" w:firstLineChars="50"/>
              <w:rPr>
                <w:rFonts w:ascii="仿宋_GB2312" w:hAnsi="仿宋" w:eastAsia="仿宋_GB2312"/>
                <w:color w:val="000000"/>
                <w:sz w:val="24"/>
              </w:rPr>
            </w:pPr>
            <w:r>
              <w:rPr>
                <w:rFonts w:hint="eastAsia" w:ascii="仿宋_GB2312" w:hAnsi="仿宋" w:eastAsia="仿宋_GB2312"/>
                <w:color w:val="000000"/>
                <w:sz w:val="24"/>
              </w:rPr>
              <w:t>5、总装机容量≥1000MW的水库水电工程；</w:t>
            </w:r>
          </w:p>
          <w:p>
            <w:pPr>
              <w:widowControl/>
              <w:spacing w:line="340" w:lineRule="exact"/>
              <w:ind w:firstLine="120" w:firstLineChars="50"/>
              <w:rPr>
                <w:rFonts w:ascii="仿宋_GB2312" w:hAnsi="仿宋" w:eastAsia="仿宋_GB2312"/>
                <w:color w:val="000000"/>
                <w:sz w:val="24"/>
              </w:rPr>
            </w:pPr>
            <w:r>
              <w:rPr>
                <w:rFonts w:hint="eastAsia" w:ascii="仿宋_GB2312" w:hAnsi="仿宋" w:eastAsia="仿宋_GB2312"/>
                <w:color w:val="000000"/>
                <w:sz w:val="24"/>
              </w:rPr>
              <w:t>6、单洞长度≥ 4km 的水工隧洞；</w:t>
            </w:r>
          </w:p>
          <w:p>
            <w:pPr>
              <w:widowControl/>
              <w:spacing w:line="340" w:lineRule="exact"/>
              <w:ind w:firstLine="120" w:firstLineChars="50"/>
              <w:rPr>
                <w:rFonts w:ascii="仿宋_GB2312" w:hAnsi="仿宋" w:eastAsia="仿宋_GB2312"/>
                <w:color w:val="000000"/>
                <w:sz w:val="24"/>
              </w:rPr>
            </w:pPr>
            <w:r>
              <w:rPr>
                <w:rFonts w:hint="eastAsia" w:ascii="仿宋_GB2312" w:hAnsi="仿宋" w:eastAsia="仿宋_GB2312"/>
                <w:color w:val="000000"/>
                <w:sz w:val="24"/>
              </w:rPr>
              <w:t>7、工程位于国家级重点环境（生态）保护区内，或毗邻国家级重点环境（生态）保护区，有特殊的环保要求。</w:t>
            </w:r>
          </w:p>
          <w:p>
            <w:pPr>
              <w:widowControl/>
              <w:spacing w:line="340" w:lineRule="exact"/>
              <w:ind w:firstLine="120" w:firstLineChars="50"/>
              <w:rPr>
                <w:rFonts w:ascii="仿宋_GB2312" w:hAnsi="仿宋" w:eastAsia="仿宋_GB2312"/>
                <w:color w:val="000000"/>
                <w:sz w:val="24"/>
              </w:rPr>
            </w:pPr>
            <w:r>
              <w:rPr>
                <w:rFonts w:hint="eastAsia" w:ascii="仿宋_GB2312" w:hAnsi="仿宋" w:eastAsia="仿宋_GB2312"/>
                <w:color w:val="000000"/>
                <w:sz w:val="24"/>
              </w:rPr>
              <w:t>（水利、发电、送电、变电、核能工程复杂程度表 表5.2-1</w:t>
            </w:r>
            <w:r>
              <w:rPr>
                <w:rFonts w:ascii="仿宋_GB2312" w:hAnsi="仿宋" w:eastAsia="仿宋_GB2312"/>
                <w:color w:val="000000"/>
                <w:sz w:val="24"/>
              </w:rPr>
              <w:t xml:space="preserve"> </w:t>
            </w:r>
            <w:r>
              <w:rPr>
                <w:rFonts w:hint="eastAsia" w:ascii="仿宋_GB2312" w:hAnsi="仿宋" w:eastAsia="仿宋_GB2312"/>
                <w:color w:val="000000"/>
                <w:sz w:val="24"/>
              </w:rPr>
              <w:t>中</w:t>
            </w:r>
            <w:r>
              <w:rPr>
                <w:rFonts w:ascii="仿宋" w:hAnsi="仿宋" w:eastAsia="仿宋"/>
                <w:color w:val="000000"/>
                <w:sz w:val="24"/>
              </w:rPr>
              <w:t>Ⅲ</w:t>
            </w:r>
            <w:r>
              <w:rPr>
                <w:rFonts w:hint="eastAsia" w:ascii="仿宋_GB2312" w:hAnsi="仿宋" w:eastAsia="仿宋_GB2312"/>
                <w:color w:val="000000"/>
                <w:sz w:val="24"/>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1422" w:type="dxa"/>
            <w:vMerge w:val="continue"/>
            <w:noWrap w:val="0"/>
            <w:vAlign w:val="center"/>
          </w:tcPr>
          <w:p>
            <w:pPr>
              <w:pStyle w:val="10"/>
              <w:spacing w:line="340" w:lineRule="exact"/>
              <w:ind w:firstLine="0" w:firstLineChars="0"/>
              <w:jc w:val="center"/>
              <w:rPr>
                <w:rFonts w:ascii="仿宋_GB2312" w:hAnsi="仿宋" w:eastAsia="仿宋_GB2312"/>
                <w:sz w:val="24"/>
              </w:rPr>
            </w:pPr>
          </w:p>
        </w:tc>
        <w:tc>
          <w:tcPr>
            <w:tcW w:w="1920" w:type="dxa"/>
            <w:noWrap w:val="0"/>
            <w:vAlign w:val="center"/>
          </w:tcPr>
          <w:p>
            <w:pPr>
              <w:pStyle w:val="10"/>
              <w:spacing w:line="340" w:lineRule="exact"/>
              <w:ind w:firstLine="0" w:firstLineChars="0"/>
              <w:jc w:val="center"/>
              <w:rPr>
                <w:rFonts w:ascii="仿宋_GB2312" w:hAnsi="仿宋" w:eastAsia="仿宋_GB2312"/>
                <w:sz w:val="24"/>
              </w:rPr>
            </w:pPr>
            <w:r>
              <w:rPr>
                <w:rFonts w:hint="eastAsia" w:ascii="仿宋_GB2312" w:hAnsi="仿宋" w:eastAsia="仿宋_GB2312"/>
                <w:sz w:val="24"/>
              </w:rPr>
              <w:t>公共工程</w:t>
            </w:r>
          </w:p>
        </w:tc>
        <w:tc>
          <w:tcPr>
            <w:tcW w:w="1743" w:type="dxa"/>
            <w:noWrap w:val="0"/>
            <w:vAlign w:val="center"/>
          </w:tcPr>
          <w:p>
            <w:pPr>
              <w:pStyle w:val="10"/>
              <w:spacing w:line="340" w:lineRule="exact"/>
              <w:ind w:firstLine="120" w:firstLineChars="50"/>
              <w:jc w:val="center"/>
              <w:rPr>
                <w:rFonts w:ascii="仿宋_GB2312" w:hAnsi="仿宋" w:eastAsia="仿宋_GB2312"/>
                <w:color w:val="000000"/>
                <w:sz w:val="24"/>
              </w:rPr>
            </w:pPr>
            <w:r>
              <w:rPr>
                <w:rFonts w:hint="eastAsia" w:ascii="仿宋_GB2312" w:hAnsi="仿宋" w:eastAsia="仿宋_GB2312"/>
                <w:color w:val="000000"/>
                <w:sz w:val="24"/>
              </w:rPr>
              <w:t>市政公用工程</w:t>
            </w:r>
          </w:p>
        </w:tc>
        <w:tc>
          <w:tcPr>
            <w:tcW w:w="4023" w:type="dxa"/>
            <w:noWrap w:val="0"/>
            <w:vAlign w:val="top"/>
          </w:tcPr>
          <w:p>
            <w:pPr>
              <w:spacing w:line="340" w:lineRule="exact"/>
              <w:rPr>
                <w:rFonts w:ascii="仿宋_GB2312" w:eastAsia="仿宋_GB2312"/>
                <w:color w:val="000000"/>
                <w:sz w:val="24"/>
              </w:rPr>
            </w:pPr>
            <w:r>
              <w:rPr>
                <w:rFonts w:ascii="仿宋_GB2312" w:eastAsia="仿宋_GB2312"/>
                <w:color w:val="000000"/>
                <w:sz w:val="24"/>
              </w:rPr>
              <w:t>1</w:t>
            </w:r>
            <w:r>
              <w:rPr>
                <w:rFonts w:hint="eastAsia" w:ascii="仿宋_GB2312" w:eastAsia="仿宋_GB2312"/>
                <w:color w:val="000000"/>
                <w:sz w:val="24"/>
              </w:rPr>
              <w:t>、城市高压燃气管网(站)，≥l000m</w:t>
            </w:r>
            <w:r>
              <w:rPr>
                <w:rFonts w:hint="eastAsia" w:ascii="仿宋_GB2312" w:eastAsia="仿宋_GB2312"/>
                <w:color w:val="000000"/>
                <w:sz w:val="24"/>
                <w:vertAlign w:val="superscript"/>
              </w:rPr>
              <w:t>3</w:t>
            </w:r>
            <w:r>
              <w:rPr>
                <w:rFonts w:hint="eastAsia" w:ascii="仿宋_GB2312" w:eastAsia="仿宋_GB2312"/>
                <w:color w:val="000000"/>
                <w:sz w:val="24"/>
              </w:rPr>
              <w:t>液化气贮罐场(站)：</w:t>
            </w:r>
          </w:p>
          <w:p>
            <w:pPr>
              <w:spacing w:line="340" w:lineRule="exact"/>
              <w:rPr>
                <w:rFonts w:ascii="仿宋_GB2312" w:eastAsia="仿宋_GB2312"/>
                <w:color w:val="000000"/>
                <w:sz w:val="24"/>
              </w:rPr>
            </w:pPr>
            <w:r>
              <w:rPr>
                <w:rFonts w:ascii="仿宋_GB2312" w:eastAsia="仿宋_GB2312"/>
                <w:color w:val="000000"/>
                <w:sz w:val="24"/>
              </w:rPr>
              <w:t>2</w:t>
            </w:r>
            <w:r>
              <w:rPr>
                <w:rFonts w:hint="eastAsia" w:ascii="仿宋_GB2312" w:eastAsia="仿宋_GB2312"/>
                <w:color w:val="000000"/>
                <w:sz w:val="24"/>
              </w:rPr>
              <w:t>、垃圾焚烧工程；</w:t>
            </w:r>
          </w:p>
          <w:p>
            <w:pPr>
              <w:spacing w:line="340" w:lineRule="exact"/>
              <w:rPr>
                <w:rFonts w:ascii="仿宋_GB2312" w:hAnsi="仿宋" w:eastAsia="仿宋_GB2312"/>
                <w:color w:val="0000FF"/>
                <w:sz w:val="24"/>
              </w:rPr>
            </w:pPr>
            <w:r>
              <w:rPr>
                <w:rFonts w:hint="eastAsia" w:ascii="仿宋_GB2312" w:eastAsia="仿宋_GB2312"/>
                <w:color w:val="000000"/>
                <w:sz w:val="24"/>
              </w:rPr>
              <w:t>（市政公用、园林绿化工程复杂程度表 表7.2-2</w:t>
            </w:r>
            <w:r>
              <w:rPr>
                <w:rFonts w:hint="eastAsia" w:ascii="仿宋_GB2312" w:hAnsi="仿宋" w:eastAsia="仿宋_GB2312"/>
                <w:color w:val="000000"/>
                <w:sz w:val="24"/>
              </w:rPr>
              <w:t>中</w:t>
            </w:r>
            <w:r>
              <w:rPr>
                <w:rFonts w:ascii="仿宋" w:hAnsi="仿宋" w:eastAsia="仿宋"/>
                <w:color w:val="000000"/>
                <w:sz w:val="24"/>
              </w:rPr>
              <w:t>Ⅲ</w:t>
            </w:r>
            <w:r>
              <w:rPr>
                <w:rFonts w:hint="eastAsia" w:ascii="仿宋_GB2312" w:hAnsi="仿宋" w:eastAsia="仿宋_GB2312"/>
                <w:color w:val="000000"/>
                <w:sz w:val="24"/>
              </w:rPr>
              <w:t>级</w:t>
            </w:r>
            <w:r>
              <w:rPr>
                <w:rFonts w:hint="eastAsia" w:asci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1422" w:type="dxa"/>
            <w:vMerge w:val="continue"/>
            <w:noWrap w:val="0"/>
            <w:vAlign w:val="center"/>
          </w:tcPr>
          <w:p>
            <w:pPr>
              <w:pStyle w:val="10"/>
              <w:spacing w:line="340" w:lineRule="exact"/>
              <w:ind w:firstLine="0" w:firstLineChars="0"/>
              <w:jc w:val="center"/>
              <w:rPr>
                <w:rFonts w:ascii="仿宋_GB2312" w:hAnsi="仿宋" w:eastAsia="仿宋_GB2312"/>
                <w:sz w:val="24"/>
              </w:rPr>
            </w:pPr>
          </w:p>
        </w:tc>
        <w:tc>
          <w:tcPr>
            <w:tcW w:w="1920" w:type="dxa"/>
            <w:vMerge w:val="restart"/>
            <w:noWrap w:val="0"/>
            <w:vAlign w:val="center"/>
          </w:tcPr>
          <w:p>
            <w:pPr>
              <w:pStyle w:val="10"/>
              <w:spacing w:line="340" w:lineRule="exact"/>
              <w:ind w:firstLine="0" w:firstLineChars="0"/>
              <w:jc w:val="center"/>
              <w:rPr>
                <w:rFonts w:ascii="仿宋_GB2312" w:hAnsi="仿宋" w:eastAsia="仿宋_GB2312"/>
                <w:sz w:val="24"/>
              </w:rPr>
            </w:pPr>
            <w:r>
              <w:rPr>
                <w:rFonts w:hint="eastAsia" w:ascii="仿宋_GB2312" w:hAnsi="仿宋" w:eastAsia="仿宋_GB2312"/>
                <w:sz w:val="24"/>
              </w:rPr>
              <w:t>其他工程</w:t>
            </w:r>
          </w:p>
        </w:tc>
        <w:tc>
          <w:tcPr>
            <w:tcW w:w="1743" w:type="dxa"/>
            <w:noWrap w:val="0"/>
            <w:vAlign w:val="center"/>
          </w:tcPr>
          <w:p>
            <w:pPr>
              <w:pStyle w:val="10"/>
              <w:spacing w:line="340" w:lineRule="exact"/>
              <w:ind w:firstLine="0" w:firstLineChars="0"/>
              <w:jc w:val="center"/>
              <w:rPr>
                <w:rFonts w:ascii="仿宋_GB2312" w:hAnsi="仿宋" w:eastAsia="仿宋_GB2312"/>
                <w:sz w:val="24"/>
              </w:rPr>
            </w:pPr>
            <w:r>
              <w:rPr>
                <w:rFonts w:hint="eastAsia" w:ascii="仿宋_GB2312" w:hAnsi="仿宋" w:eastAsia="仿宋_GB2312"/>
                <w:sz w:val="24"/>
              </w:rPr>
              <w:t>冶炼工程</w:t>
            </w:r>
          </w:p>
        </w:tc>
        <w:tc>
          <w:tcPr>
            <w:tcW w:w="4023" w:type="dxa"/>
            <w:noWrap w:val="0"/>
            <w:vAlign w:val="top"/>
          </w:tcPr>
          <w:p>
            <w:pPr>
              <w:spacing w:line="340" w:lineRule="exact"/>
              <w:rPr>
                <w:rFonts w:ascii="仿宋_GB2312" w:hAnsi="仿宋" w:eastAsia="仿宋_GB2312"/>
                <w:sz w:val="24"/>
              </w:rPr>
            </w:pPr>
            <w:r>
              <w:rPr>
                <w:rFonts w:ascii="仿宋_GB2312" w:hAnsi="仿宋" w:eastAsia="仿宋_GB2312"/>
                <w:sz w:val="24"/>
              </w:rPr>
              <w:t>1</w:t>
            </w:r>
            <w:r>
              <w:rPr>
                <w:rFonts w:hint="eastAsia" w:ascii="仿宋_GB2312" w:hAnsi="仿宋" w:eastAsia="仿宋_GB2312"/>
                <w:sz w:val="24"/>
              </w:rPr>
              <w:t>、火炸药及火工品工程，弹箭引信工程；</w:t>
            </w:r>
          </w:p>
          <w:p>
            <w:pPr>
              <w:spacing w:line="340" w:lineRule="exact"/>
              <w:rPr>
                <w:rFonts w:ascii="仿宋_GB2312" w:hAnsi="仿宋" w:eastAsia="仿宋_GB2312"/>
                <w:sz w:val="24"/>
              </w:rPr>
            </w:pPr>
            <w:r>
              <w:rPr>
                <w:rFonts w:ascii="仿宋_GB2312" w:hAnsi="仿宋" w:eastAsia="仿宋_GB2312"/>
                <w:sz w:val="24"/>
              </w:rPr>
              <w:t>2</w:t>
            </w:r>
            <w:r>
              <w:rPr>
                <w:rFonts w:hint="eastAsia" w:ascii="仿宋_GB2312" w:hAnsi="仿宋" w:eastAsia="仿宋_GB2312"/>
                <w:sz w:val="24"/>
              </w:rPr>
              <w:t>、航空主机厂，航天产品总装厂工程；</w:t>
            </w:r>
          </w:p>
          <w:p>
            <w:pPr>
              <w:spacing w:line="340" w:lineRule="exact"/>
              <w:rPr>
                <w:rFonts w:ascii="仿宋_GB2312" w:hAnsi="仿宋" w:eastAsia="仿宋_GB2312"/>
                <w:sz w:val="24"/>
              </w:rPr>
            </w:pPr>
            <w:r>
              <w:rPr>
                <w:rFonts w:ascii="仿宋_GB2312" w:hAnsi="仿宋" w:eastAsia="仿宋_GB2312"/>
                <w:sz w:val="24"/>
              </w:rPr>
              <w:t>3</w:t>
            </w:r>
            <w:r>
              <w:rPr>
                <w:rFonts w:hint="eastAsia" w:ascii="仿宋_GB2312" w:hAnsi="仿宋" w:eastAsia="仿宋_GB2312"/>
                <w:sz w:val="24"/>
              </w:rPr>
              <w:t>、核燃料元/组件、铀浓缩、核技术及同位素应用工程；</w:t>
            </w:r>
          </w:p>
          <w:p>
            <w:pPr>
              <w:spacing w:line="340" w:lineRule="exact"/>
              <w:rPr>
                <w:rFonts w:ascii="仿宋_GB2312" w:hAnsi="仿宋" w:eastAsia="仿宋_GB2312"/>
                <w:sz w:val="24"/>
              </w:rPr>
            </w:pPr>
            <w:r>
              <w:rPr>
                <w:rFonts w:ascii="仿宋_GB2312" w:hAnsi="仿宋" w:eastAsia="仿宋_GB2312"/>
                <w:sz w:val="24"/>
              </w:rPr>
              <w:t>4</w:t>
            </w:r>
            <w:r>
              <w:rPr>
                <w:rFonts w:hint="eastAsia" w:ascii="仿宋_GB2312" w:hAnsi="仿宋" w:eastAsia="仿宋_GB2312"/>
                <w:sz w:val="24"/>
              </w:rPr>
              <w:t>、有色、钢铁冶炼(含连铸)工程，轧钢工程。</w:t>
            </w:r>
          </w:p>
          <w:p>
            <w:pPr>
              <w:spacing w:line="340" w:lineRule="exact"/>
              <w:rPr>
                <w:rFonts w:ascii="仿宋_GB2312" w:hAnsi="仿宋" w:eastAsia="仿宋_GB2312"/>
                <w:sz w:val="24"/>
              </w:rPr>
            </w:pPr>
            <w:r>
              <w:rPr>
                <w:rFonts w:hint="eastAsia" w:ascii="仿宋_GB2312" w:hAnsi="仿宋" w:eastAsia="仿宋_GB2312"/>
                <w:sz w:val="24"/>
              </w:rPr>
              <w:t>（加工冶炼工程复杂程度表 表3.2-1</w:t>
            </w:r>
            <w:r>
              <w:rPr>
                <w:rFonts w:hint="eastAsia" w:ascii="仿宋_GB2312" w:hAnsi="仿宋" w:eastAsia="仿宋_GB2312"/>
                <w:color w:val="000000"/>
                <w:sz w:val="24"/>
              </w:rPr>
              <w:t>中</w:t>
            </w:r>
            <w:r>
              <w:rPr>
                <w:rFonts w:ascii="仿宋" w:hAnsi="仿宋" w:eastAsia="仿宋"/>
                <w:color w:val="000000"/>
                <w:sz w:val="24"/>
              </w:rPr>
              <w:t>Ⅲ</w:t>
            </w:r>
            <w:r>
              <w:rPr>
                <w:rFonts w:hint="eastAsia" w:ascii="仿宋_GB2312" w:hAnsi="仿宋" w:eastAsia="仿宋_GB2312"/>
                <w:color w:val="000000"/>
                <w:sz w:val="24"/>
              </w:rPr>
              <w:t>级</w:t>
            </w:r>
            <w:r>
              <w:rPr>
                <w:rFonts w:hint="eastAsia" w:ascii="仿宋_GB2312" w:hAnsi="仿宋"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2" w:type="dxa"/>
            <w:vMerge w:val="continue"/>
            <w:noWrap w:val="0"/>
            <w:vAlign w:val="center"/>
          </w:tcPr>
          <w:p>
            <w:pPr>
              <w:pStyle w:val="10"/>
              <w:spacing w:line="340" w:lineRule="exact"/>
              <w:ind w:firstLine="0" w:firstLineChars="0"/>
              <w:jc w:val="center"/>
              <w:rPr>
                <w:rFonts w:ascii="仿宋_GB2312" w:hAnsi="仿宋" w:eastAsia="仿宋_GB2312"/>
                <w:sz w:val="24"/>
              </w:rPr>
            </w:pPr>
          </w:p>
        </w:tc>
        <w:tc>
          <w:tcPr>
            <w:tcW w:w="1920" w:type="dxa"/>
            <w:vMerge w:val="continue"/>
            <w:noWrap w:val="0"/>
            <w:vAlign w:val="center"/>
          </w:tcPr>
          <w:p>
            <w:pPr>
              <w:pStyle w:val="10"/>
              <w:spacing w:line="340" w:lineRule="exact"/>
              <w:ind w:firstLine="0" w:firstLineChars="0"/>
              <w:jc w:val="center"/>
              <w:rPr>
                <w:rFonts w:ascii="仿宋_GB2312" w:hAnsi="仿宋" w:eastAsia="仿宋_GB2312"/>
                <w:sz w:val="24"/>
              </w:rPr>
            </w:pPr>
          </w:p>
        </w:tc>
        <w:tc>
          <w:tcPr>
            <w:tcW w:w="1743" w:type="dxa"/>
            <w:noWrap w:val="0"/>
            <w:vAlign w:val="center"/>
          </w:tcPr>
          <w:p>
            <w:pPr>
              <w:pStyle w:val="10"/>
              <w:spacing w:line="340" w:lineRule="exact"/>
              <w:ind w:firstLine="0" w:firstLineChars="0"/>
              <w:jc w:val="center"/>
              <w:rPr>
                <w:rFonts w:ascii="仿宋_GB2312" w:hAnsi="仿宋" w:eastAsia="仿宋_GB2312"/>
                <w:sz w:val="24"/>
              </w:rPr>
            </w:pPr>
            <w:r>
              <w:rPr>
                <w:rFonts w:hint="eastAsia" w:ascii="仿宋_GB2312" w:hAnsi="仿宋" w:eastAsia="仿宋_GB2312"/>
                <w:sz w:val="24"/>
              </w:rPr>
              <w:t>石油化工工程</w:t>
            </w:r>
          </w:p>
        </w:tc>
        <w:tc>
          <w:tcPr>
            <w:tcW w:w="4023" w:type="dxa"/>
            <w:noWrap w:val="0"/>
            <w:vAlign w:val="top"/>
          </w:tcPr>
          <w:p>
            <w:pPr>
              <w:spacing w:line="340" w:lineRule="exact"/>
              <w:rPr>
                <w:rFonts w:ascii="仿宋_GB2312" w:hAnsi="仿宋" w:eastAsia="仿宋_GB2312"/>
                <w:sz w:val="24"/>
              </w:rPr>
            </w:pPr>
            <w:r>
              <w:rPr>
                <w:rFonts w:hint="eastAsia" w:ascii="仿宋_GB2312" w:hAnsi="仿宋" w:eastAsia="仿宋_GB2312"/>
                <w:sz w:val="24"/>
              </w:rPr>
              <w:t>1、海上油气田工程；</w:t>
            </w:r>
          </w:p>
          <w:p>
            <w:pPr>
              <w:spacing w:line="340" w:lineRule="exact"/>
              <w:rPr>
                <w:rFonts w:ascii="仿宋_GB2312" w:hAnsi="仿宋" w:eastAsia="仿宋_GB2312"/>
                <w:sz w:val="24"/>
              </w:rPr>
            </w:pPr>
            <w:r>
              <w:rPr>
                <w:rFonts w:hint="eastAsia" w:ascii="仿宋_GB2312" w:hAnsi="仿宋" w:eastAsia="仿宋_GB2312"/>
                <w:sz w:val="24"/>
              </w:rPr>
              <w:t>2、长输管道的穿跨越工程；</w:t>
            </w:r>
          </w:p>
          <w:p>
            <w:pPr>
              <w:spacing w:line="340" w:lineRule="exact"/>
              <w:rPr>
                <w:rFonts w:ascii="仿宋_GB2312" w:hAnsi="仿宋" w:eastAsia="仿宋_GB2312"/>
                <w:sz w:val="24"/>
              </w:rPr>
            </w:pPr>
            <w:r>
              <w:rPr>
                <w:rFonts w:hint="eastAsia" w:ascii="仿宋_GB2312" w:hAnsi="仿宋" w:eastAsia="仿宋_GB2312"/>
                <w:sz w:val="24"/>
              </w:rPr>
              <w:t>3、500万吨/年以上的常减压蒸馏及二次加工装置，芳烃抽提、芳烃（PX），乙烯、精对苯二甲酸等单体原料，合成材料，LPG、LNG低温储存运输设施工程；</w:t>
            </w:r>
          </w:p>
          <w:p>
            <w:pPr>
              <w:spacing w:line="340" w:lineRule="exact"/>
              <w:rPr>
                <w:rFonts w:ascii="仿宋_GB2312" w:hAnsi="仿宋" w:eastAsia="仿宋_GB2312"/>
                <w:sz w:val="24"/>
              </w:rPr>
            </w:pPr>
            <w:r>
              <w:rPr>
                <w:rFonts w:hint="eastAsia" w:ascii="仿宋_GB2312" w:hAnsi="仿宋" w:eastAsia="仿宋_GB2312"/>
                <w:sz w:val="24"/>
              </w:rPr>
              <w:t>4、合成氨、制酸、制碱、复合肥、火化工、煤化工工程；</w:t>
            </w:r>
          </w:p>
          <w:p>
            <w:pPr>
              <w:spacing w:line="340" w:lineRule="exact"/>
              <w:rPr>
                <w:rFonts w:ascii="仿宋_GB2312" w:hAnsi="仿宋" w:eastAsia="仿宋_GB2312"/>
                <w:sz w:val="24"/>
              </w:rPr>
            </w:pPr>
            <w:r>
              <w:rPr>
                <w:rFonts w:hint="eastAsia" w:ascii="仿宋_GB2312" w:hAnsi="仿宋" w:eastAsia="仿宋_GB2312"/>
                <w:sz w:val="24"/>
              </w:rPr>
              <w:t>5、核化工、放射性药品工程；</w:t>
            </w:r>
          </w:p>
          <w:p>
            <w:pPr>
              <w:spacing w:line="340" w:lineRule="exact"/>
              <w:rPr>
                <w:rFonts w:ascii="仿宋_GB2312" w:hAnsi="仿宋" w:eastAsia="仿宋_GB2312"/>
                <w:sz w:val="24"/>
              </w:rPr>
            </w:pPr>
            <w:r>
              <w:rPr>
                <w:rFonts w:hint="eastAsia" w:ascii="仿宋_GB2312" w:hAnsi="仿宋" w:eastAsia="仿宋_GB2312"/>
                <w:sz w:val="24"/>
              </w:rPr>
              <w:t>（石油化工工程复杂程度表 表4.2-1</w:t>
            </w:r>
            <w:r>
              <w:rPr>
                <w:rFonts w:hint="eastAsia" w:ascii="仿宋_GB2312" w:hAnsi="仿宋" w:eastAsia="仿宋_GB2312"/>
                <w:color w:val="000000"/>
                <w:sz w:val="24"/>
              </w:rPr>
              <w:t>中</w:t>
            </w:r>
            <w:r>
              <w:rPr>
                <w:rFonts w:ascii="仿宋" w:hAnsi="仿宋" w:eastAsia="仿宋"/>
                <w:color w:val="000000"/>
                <w:sz w:val="24"/>
              </w:rPr>
              <w:t>Ⅲ</w:t>
            </w:r>
            <w:r>
              <w:rPr>
                <w:rFonts w:hint="eastAsia" w:ascii="仿宋_GB2312" w:hAnsi="仿宋" w:eastAsia="仿宋_GB2312"/>
                <w:color w:val="000000"/>
                <w:sz w:val="24"/>
              </w:rPr>
              <w:t>级</w:t>
            </w:r>
            <w:r>
              <w:rPr>
                <w:rFonts w:hint="eastAsia" w:ascii="仿宋_GB2312" w:hAnsi="仿宋"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trPr>
        <w:tc>
          <w:tcPr>
            <w:tcW w:w="1422" w:type="dxa"/>
            <w:vMerge w:val="continue"/>
            <w:noWrap w:val="0"/>
            <w:vAlign w:val="center"/>
          </w:tcPr>
          <w:p>
            <w:pPr>
              <w:pStyle w:val="10"/>
              <w:spacing w:line="340" w:lineRule="exact"/>
              <w:ind w:firstLine="0" w:firstLineChars="0"/>
              <w:jc w:val="center"/>
              <w:rPr>
                <w:rFonts w:ascii="仿宋_GB2312" w:hAnsi="仿宋" w:eastAsia="仿宋_GB2312"/>
                <w:sz w:val="24"/>
              </w:rPr>
            </w:pPr>
          </w:p>
        </w:tc>
        <w:tc>
          <w:tcPr>
            <w:tcW w:w="1920" w:type="dxa"/>
            <w:vMerge w:val="continue"/>
            <w:noWrap w:val="0"/>
            <w:vAlign w:val="center"/>
          </w:tcPr>
          <w:p>
            <w:pPr>
              <w:pStyle w:val="10"/>
              <w:spacing w:line="340" w:lineRule="exact"/>
              <w:ind w:firstLine="0" w:firstLineChars="0"/>
              <w:jc w:val="center"/>
              <w:rPr>
                <w:rFonts w:ascii="仿宋_GB2312" w:hAnsi="仿宋" w:eastAsia="仿宋_GB2312"/>
                <w:sz w:val="24"/>
              </w:rPr>
            </w:pPr>
          </w:p>
        </w:tc>
        <w:tc>
          <w:tcPr>
            <w:tcW w:w="1743" w:type="dxa"/>
            <w:noWrap w:val="0"/>
            <w:vAlign w:val="center"/>
          </w:tcPr>
          <w:p>
            <w:pPr>
              <w:pStyle w:val="10"/>
              <w:spacing w:line="340" w:lineRule="exact"/>
              <w:ind w:firstLine="0" w:firstLineChars="0"/>
              <w:jc w:val="center"/>
              <w:rPr>
                <w:rFonts w:ascii="仿宋_GB2312" w:hAnsi="仿宋" w:eastAsia="仿宋_GB2312"/>
                <w:color w:val="000000"/>
                <w:sz w:val="24"/>
              </w:rPr>
            </w:pPr>
            <w:r>
              <w:rPr>
                <w:rFonts w:hint="eastAsia" w:ascii="仿宋_GB2312" w:hAnsi="仿宋" w:eastAsia="仿宋_GB2312"/>
                <w:color w:val="000000"/>
                <w:sz w:val="24"/>
              </w:rPr>
              <w:t>高耸建筑工程</w:t>
            </w:r>
          </w:p>
        </w:tc>
        <w:tc>
          <w:tcPr>
            <w:tcW w:w="4023" w:type="dxa"/>
            <w:noWrap w:val="0"/>
            <w:vAlign w:val="top"/>
          </w:tcPr>
          <w:p>
            <w:pPr>
              <w:spacing w:line="340" w:lineRule="exact"/>
              <w:rPr>
                <w:rFonts w:ascii="仿宋_GB2312" w:hAnsi="仿宋" w:eastAsia="仿宋_GB2312"/>
                <w:color w:val="000000"/>
                <w:sz w:val="24"/>
              </w:rPr>
            </w:pPr>
            <w:r>
              <w:rPr>
                <w:rFonts w:ascii="仿宋_GB2312" w:hAnsi="仿宋" w:eastAsia="仿宋_GB2312"/>
                <w:color w:val="000000"/>
                <w:sz w:val="24"/>
              </w:rPr>
              <w:t>1</w:t>
            </w:r>
            <w:r>
              <w:rPr>
                <w:rFonts w:hint="eastAsia" w:ascii="仿宋_GB2312" w:hAnsi="仿宋" w:eastAsia="仿宋_GB2312"/>
                <w:color w:val="000000"/>
                <w:sz w:val="24"/>
              </w:rPr>
              <w:t>、高度≥l20m的高耸构筑物。</w:t>
            </w:r>
          </w:p>
          <w:p>
            <w:pPr>
              <w:spacing w:line="340" w:lineRule="exact"/>
              <w:rPr>
                <w:rFonts w:ascii="仿宋_GB2312" w:hAnsi="仿宋" w:eastAsia="仿宋_GB2312"/>
                <w:color w:val="0000FF"/>
                <w:sz w:val="24"/>
              </w:rPr>
            </w:pPr>
            <w:r>
              <w:rPr>
                <w:rFonts w:hint="eastAsia" w:ascii="仿宋_GB2312" w:hAnsi="仿宋" w:eastAsia="仿宋_GB2312"/>
                <w:color w:val="000000"/>
                <w:sz w:val="24"/>
              </w:rPr>
              <w:t>（建筑、人防工程复杂程度表 表7.2-1中</w:t>
            </w:r>
            <w:r>
              <w:rPr>
                <w:rFonts w:ascii="仿宋" w:hAnsi="仿宋" w:eastAsia="仿宋"/>
                <w:color w:val="000000"/>
                <w:sz w:val="24"/>
              </w:rPr>
              <w:t>Ⅲ</w:t>
            </w:r>
            <w:r>
              <w:rPr>
                <w:rFonts w:hint="eastAsia" w:ascii="仿宋_GB2312" w:hAnsi="仿宋" w:eastAsia="仿宋_GB2312"/>
                <w:color w:val="000000"/>
                <w:sz w:val="24"/>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trPr>
        <w:tc>
          <w:tcPr>
            <w:tcW w:w="1422" w:type="dxa"/>
            <w:vMerge w:val="continue"/>
            <w:noWrap w:val="0"/>
            <w:vAlign w:val="center"/>
          </w:tcPr>
          <w:p>
            <w:pPr>
              <w:pStyle w:val="10"/>
              <w:spacing w:line="340" w:lineRule="exact"/>
              <w:ind w:firstLine="0" w:firstLineChars="0"/>
              <w:jc w:val="center"/>
              <w:rPr>
                <w:rFonts w:ascii="仿宋_GB2312" w:hAnsi="仿宋" w:eastAsia="仿宋_GB2312"/>
                <w:sz w:val="24"/>
              </w:rPr>
            </w:pPr>
          </w:p>
        </w:tc>
        <w:tc>
          <w:tcPr>
            <w:tcW w:w="1920" w:type="dxa"/>
            <w:noWrap w:val="0"/>
            <w:vAlign w:val="center"/>
          </w:tcPr>
          <w:p>
            <w:pPr>
              <w:pStyle w:val="10"/>
              <w:spacing w:line="340" w:lineRule="exact"/>
              <w:ind w:firstLine="0" w:firstLineChars="0"/>
              <w:jc w:val="center"/>
              <w:rPr>
                <w:rFonts w:ascii="仿宋_GB2312" w:hAnsi="仿宋" w:eastAsia="仿宋_GB2312"/>
                <w:sz w:val="24"/>
              </w:rPr>
            </w:pPr>
          </w:p>
        </w:tc>
        <w:tc>
          <w:tcPr>
            <w:tcW w:w="1743" w:type="dxa"/>
            <w:noWrap w:val="0"/>
            <w:vAlign w:val="center"/>
          </w:tcPr>
          <w:p>
            <w:pPr>
              <w:pStyle w:val="10"/>
              <w:spacing w:line="340" w:lineRule="exact"/>
              <w:ind w:firstLine="0" w:firstLineChars="0"/>
              <w:jc w:val="center"/>
              <w:rPr>
                <w:rFonts w:ascii="仿宋_GB2312" w:hAnsi="仿宋" w:eastAsia="仿宋_GB2312"/>
                <w:color w:val="000000"/>
                <w:sz w:val="24"/>
              </w:rPr>
            </w:pPr>
            <w:r>
              <w:rPr>
                <w:rFonts w:hint="eastAsia" w:ascii="仿宋_GB2312" w:hAnsi="仿宋" w:eastAsia="仿宋_GB2312"/>
                <w:color w:val="000000"/>
                <w:sz w:val="24"/>
              </w:rPr>
              <w:t>广播电视、邮政、电信工程</w:t>
            </w:r>
          </w:p>
        </w:tc>
        <w:tc>
          <w:tcPr>
            <w:tcW w:w="4023" w:type="dxa"/>
            <w:noWrap w:val="0"/>
            <w:vAlign w:val="top"/>
          </w:tcPr>
          <w:p>
            <w:pPr>
              <w:spacing w:line="340" w:lineRule="exact"/>
              <w:rPr>
                <w:rFonts w:ascii="仿宋_GB2312" w:hAnsi="仿宋" w:eastAsia="仿宋_GB2312"/>
                <w:color w:val="000000"/>
                <w:sz w:val="24"/>
              </w:rPr>
            </w:pPr>
            <w:r>
              <w:rPr>
                <w:rFonts w:ascii="仿宋_GB2312" w:hAnsi="仿宋" w:eastAsia="仿宋_GB2312"/>
                <w:color w:val="000000"/>
                <w:sz w:val="24"/>
              </w:rPr>
              <w:t>1</w:t>
            </w:r>
            <w:r>
              <w:rPr>
                <w:rFonts w:hint="eastAsia" w:ascii="仿宋_GB2312" w:hAnsi="仿宋" w:eastAsia="仿宋_GB2312"/>
                <w:color w:val="000000"/>
                <w:sz w:val="24"/>
              </w:rPr>
              <w:t>、电视、调频发射塔(台)设备(中波单机功率P≥10KW，塔高≥200m)工程；</w:t>
            </w:r>
          </w:p>
          <w:p>
            <w:pPr>
              <w:spacing w:line="340" w:lineRule="exact"/>
              <w:rPr>
                <w:rFonts w:ascii="仿宋_GB2312" w:hAnsi="仿宋" w:eastAsia="仿宋_GB2312"/>
                <w:color w:val="000000"/>
                <w:sz w:val="24"/>
              </w:rPr>
            </w:pPr>
            <w:r>
              <w:rPr>
                <w:rFonts w:hint="eastAsia" w:ascii="仿宋_GB2312" w:hAnsi="仿宋" w:eastAsia="仿宋_GB2312"/>
                <w:color w:val="000000"/>
                <w:sz w:val="24"/>
              </w:rPr>
              <w:t>（广播电视、邮政、电信工程复杂程度表 表7.2-3中</w:t>
            </w:r>
            <w:r>
              <w:rPr>
                <w:rFonts w:ascii="仿宋" w:hAnsi="仿宋" w:eastAsia="仿宋"/>
                <w:color w:val="000000"/>
                <w:sz w:val="24"/>
              </w:rPr>
              <w:t>Ⅲ</w:t>
            </w:r>
            <w:r>
              <w:rPr>
                <w:rFonts w:hint="eastAsia" w:ascii="仿宋_GB2312" w:hAnsi="仿宋" w:eastAsia="仿宋_GB2312"/>
                <w:color w:val="000000"/>
                <w:sz w:val="24"/>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1422" w:type="dxa"/>
            <w:vMerge w:val="continue"/>
            <w:noWrap w:val="0"/>
            <w:vAlign w:val="center"/>
          </w:tcPr>
          <w:p>
            <w:pPr>
              <w:pStyle w:val="10"/>
              <w:spacing w:line="340" w:lineRule="exact"/>
              <w:ind w:firstLine="0" w:firstLineChars="0"/>
              <w:jc w:val="center"/>
              <w:rPr>
                <w:rFonts w:ascii="仿宋_GB2312" w:hAnsi="仿宋" w:eastAsia="仿宋_GB2312"/>
                <w:sz w:val="24"/>
              </w:rPr>
            </w:pPr>
          </w:p>
        </w:tc>
        <w:tc>
          <w:tcPr>
            <w:tcW w:w="1920" w:type="dxa"/>
            <w:noWrap w:val="0"/>
            <w:vAlign w:val="center"/>
          </w:tcPr>
          <w:p>
            <w:pPr>
              <w:pStyle w:val="10"/>
              <w:spacing w:line="340" w:lineRule="exact"/>
              <w:ind w:firstLine="0" w:firstLineChars="0"/>
              <w:jc w:val="center"/>
              <w:rPr>
                <w:rFonts w:ascii="仿宋_GB2312" w:hAnsi="仿宋" w:eastAsia="仿宋_GB2312"/>
                <w:sz w:val="24"/>
              </w:rPr>
            </w:pPr>
            <w:r>
              <w:rPr>
                <w:rFonts w:hint="eastAsia" w:ascii="仿宋_GB2312" w:hAnsi="仿宋" w:eastAsia="仿宋_GB2312"/>
                <w:sz w:val="24"/>
              </w:rPr>
              <w:t>其他项目</w:t>
            </w:r>
          </w:p>
        </w:tc>
        <w:tc>
          <w:tcPr>
            <w:tcW w:w="5766" w:type="dxa"/>
            <w:gridSpan w:val="2"/>
            <w:noWrap w:val="0"/>
            <w:vAlign w:val="center"/>
          </w:tcPr>
          <w:p>
            <w:pPr>
              <w:pStyle w:val="10"/>
              <w:spacing w:line="340" w:lineRule="exact"/>
              <w:ind w:firstLine="0" w:firstLineChars="0"/>
              <w:rPr>
                <w:rFonts w:ascii="仿宋_GB2312" w:hAnsi="仿宋" w:eastAsia="仿宋_GB2312"/>
                <w:color w:val="0000FF"/>
                <w:sz w:val="24"/>
              </w:rPr>
            </w:pPr>
            <w:r>
              <w:rPr>
                <w:rFonts w:hint="eastAsia" w:ascii="仿宋_GB2312" w:hAnsi="仿宋" w:eastAsia="仿宋_GB2312" w:cs="宋体"/>
                <w:spacing w:val="8"/>
                <w:kern w:val="0"/>
                <w:sz w:val="24"/>
              </w:rPr>
              <w:t>其他依照法律、法规和规章的规定需要进行气候分析和论证的项目。</w:t>
            </w:r>
          </w:p>
        </w:tc>
      </w:tr>
    </w:tbl>
    <w:p>
      <w:pPr>
        <w:spacing w:line="340" w:lineRule="exact"/>
      </w:pPr>
    </w:p>
    <w:p>
      <w:pPr>
        <w:pStyle w:val="7"/>
        <w:widowControl/>
        <w:snapToGrid w:val="0"/>
        <w:spacing w:beforeLines="0" w:afterLines="0" w:line="560" w:lineRule="exact"/>
        <w:ind w:left="0" w:leftChars="0" w:firstLine="0" w:firstLineChars="0"/>
        <w:rPr>
          <w:rFonts w:hint="default" w:ascii="仿宋_GB2312" w:hAnsi="仿宋_GB2312" w:cs="仿宋_GB2312"/>
          <w:color w:val="auto"/>
          <w:kern w:val="0"/>
          <w:sz w:val="32"/>
          <w:szCs w:val="32"/>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长城楷体">
    <w:altName w:val="方正楷体_GBK"/>
    <w:panose1 w:val="00000000000000000000"/>
    <w:charset w:val="00"/>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EDD177"/>
    <w:multiLevelType w:val="singleLevel"/>
    <w:tmpl w:val="62EDD177"/>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trackRevisions w:val="tru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C708CA"/>
    <w:rsid w:val="0158491D"/>
    <w:rsid w:val="0FEFD1EB"/>
    <w:rsid w:val="1B6F1B9E"/>
    <w:rsid w:val="2EFFCD88"/>
    <w:rsid w:val="3AEE6419"/>
    <w:rsid w:val="3DBAC79B"/>
    <w:rsid w:val="3E256BD4"/>
    <w:rsid w:val="40F3753B"/>
    <w:rsid w:val="43C708CA"/>
    <w:rsid w:val="5FFB6EA5"/>
    <w:rsid w:val="6FBC9E15"/>
    <w:rsid w:val="6FFF1C1B"/>
    <w:rsid w:val="765A7E84"/>
    <w:rsid w:val="77FAE1BA"/>
    <w:rsid w:val="7A7F441D"/>
    <w:rsid w:val="7FBA59FA"/>
    <w:rsid w:val="7FFBB77E"/>
    <w:rsid w:val="8FFFAD3E"/>
    <w:rsid w:val="9F7CF7C8"/>
    <w:rsid w:val="A3BFAF50"/>
    <w:rsid w:val="B1D702AD"/>
    <w:rsid w:val="B777872C"/>
    <w:rsid w:val="BEDB5427"/>
    <w:rsid w:val="BF9EB9A7"/>
    <w:rsid w:val="BFB67F12"/>
    <w:rsid w:val="D72F575A"/>
    <w:rsid w:val="EB7FF5BD"/>
    <w:rsid w:val="EDE6F057"/>
    <w:rsid w:val="FD5D8EDC"/>
    <w:rsid w:val="FED73D67"/>
    <w:rsid w:val="FF6F7F6A"/>
    <w:rsid w:val="FF9F73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overflowPunct w:val="0"/>
      <w:autoSpaceDE w:val="0"/>
      <w:autoSpaceDN w:val="0"/>
      <w:adjustRightInd w:val="0"/>
      <w:spacing w:after="180" w:line="400" w:lineRule="atLeast"/>
      <w:ind w:firstLine="420"/>
      <w:jc w:val="left"/>
      <w:textAlignment w:val="baseline"/>
    </w:pPr>
    <w:rPr>
      <w:rFonts w:ascii="长城楷体" w:eastAsia="长城楷体"/>
      <w:kern w:val="0"/>
      <w:sz w:val="28"/>
      <w:szCs w:val="20"/>
    </w:rPr>
  </w:style>
  <w:style w:type="paragraph" w:styleId="3">
    <w:name w:val="footer"/>
    <w:basedOn w:val="1"/>
    <w:qFormat/>
    <w:uiPriority w:val="0"/>
    <w:pPr>
      <w:tabs>
        <w:tab w:val="center" w:pos="4153"/>
        <w:tab w:val="right" w:pos="8306"/>
      </w:tabs>
      <w:snapToGrid w:val="0"/>
      <w:jc w:val="left"/>
    </w:pPr>
    <w:rPr>
      <w:sz w:val="18"/>
    </w:rPr>
  </w:style>
  <w:style w:type="character" w:styleId="6">
    <w:name w:val="page number"/>
    <w:basedOn w:val="5"/>
    <w:qFormat/>
    <w:uiPriority w:val="0"/>
  </w:style>
  <w:style w:type="paragraph" w:styleId="7">
    <w:name w:val="List Paragraph"/>
    <w:basedOn w:val="1"/>
    <w:qFormat/>
    <w:uiPriority w:val="34"/>
    <w:pPr>
      <w:ind w:firstLine="420" w:firstLineChars="200"/>
    </w:pPr>
  </w:style>
  <w:style w:type="character" w:customStyle="1" w:styleId="8">
    <w:name w:val="font01"/>
    <w:basedOn w:val="5"/>
    <w:qFormat/>
    <w:uiPriority w:val="0"/>
    <w:rPr>
      <w:rFonts w:hint="eastAsia" w:ascii="宋体" w:hAnsi="宋体" w:eastAsia="宋体" w:cs="宋体"/>
      <w:color w:val="000000"/>
      <w:sz w:val="21"/>
      <w:szCs w:val="21"/>
      <w:u w:val="none"/>
    </w:rPr>
  </w:style>
  <w:style w:type="character" w:customStyle="1" w:styleId="9">
    <w:name w:val="font11"/>
    <w:basedOn w:val="5"/>
    <w:qFormat/>
    <w:uiPriority w:val="0"/>
    <w:rPr>
      <w:rFonts w:hint="default" w:ascii="Times New Roman" w:hAnsi="Times New Roman" w:cs="Times New Roman"/>
      <w:color w:val="000000"/>
      <w:sz w:val="21"/>
      <w:szCs w:val="21"/>
      <w:u w:val="none"/>
    </w:rPr>
  </w:style>
  <w:style w:type="paragraph" w:customStyle="1" w:styleId="10">
    <w:name w:val="列表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2022-08-04T15:17:00Z</dcterms:created>
  <dc:creator>郭晓坤</dc:creator>
  <cp:lastModifiedBy>songyi</cp:lastModifiedBy>
  <cp:lastPrinted>2022-08-24T08:37:00Z</cp:lastPrinted>
  <dcterms:modified xsi:type="dcterms:W3CDTF">2022-11-14T16:52:16Z</dcterms:modified>
  <dc:title>深圳市社会投资项目“用地清单制”气候可行性论证工作指引</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